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E62A86" w:rsidP="00E62A86">
      <w:pPr>
        <w:pStyle w:val="Heading1"/>
        <w:numPr>
          <w:ilvl w:val="0"/>
          <w:numId w:val="0"/>
        </w:numPr>
      </w:pPr>
      <w:bookmarkStart w:id="0" w:name="_Toc288131448"/>
      <w:r>
        <w:t>CUSC Workgroup Consultation Response Proforma</w:t>
      </w:r>
      <w:bookmarkEnd w:id="0"/>
    </w:p>
    <w:p w:rsidR="00E62A86" w:rsidRDefault="00E62A86" w:rsidP="00E62A86">
      <w:pPr>
        <w:rPr>
          <w:rFonts w:cs="Arial"/>
          <w:b/>
          <w:szCs w:val="22"/>
        </w:rPr>
      </w:pPr>
    </w:p>
    <w:p w:rsidR="00FF6D9E" w:rsidRDefault="00976E28" w:rsidP="00976E28">
      <w:pPr>
        <w:rPr>
          <w:rFonts w:cs="Arial"/>
          <w:b/>
          <w:sz w:val="24"/>
        </w:rPr>
      </w:pPr>
      <w:r w:rsidRPr="00976E28">
        <w:rPr>
          <w:rFonts w:cs="Arial"/>
          <w:b/>
          <w:sz w:val="24"/>
        </w:rPr>
        <w:t>CMP2</w:t>
      </w:r>
      <w:r w:rsidR="001B1A2F">
        <w:rPr>
          <w:rFonts w:cs="Arial"/>
          <w:b/>
          <w:sz w:val="24"/>
        </w:rPr>
        <w:t>7</w:t>
      </w:r>
      <w:r w:rsidR="00FF6D9E">
        <w:rPr>
          <w:rFonts w:cs="Arial"/>
          <w:b/>
          <w:sz w:val="24"/>
        </w:rPr>
        <w:t>5</w:t>
      </w:r>
      <w:r>
        <w:rPr>
          <w:rFonts w:cs="Arial"/>
          <w:b/>
          <w:sz w:val="24"/>
        </w:rPr>
        <w:t xml:space="preserve"> </w:t>
      </w:r>
      <w:r w:rsidR="001B1A2F">
        <w:rPr>
          <w:rFonts w:cs="Arial"/>
          <w:b/>
          <w:sz w:val="24"/>
        </w:rPr>
        <w:t>‘</w:t>
      </w:r>
      <w:r w:rsidR="00FF6D9E" w:rsidRPr="00FF6D9E">
        <w:rPr>
          <w:rFonts w:cs="Arial"/>
          <w:b/>
          <w:sz w:val="24"/>
        </w:rPr>
        <w:t>Transmission Generator Benefits in the provision of ancillary and balancing services – levelling the playing field</w:t>
      </w:r>
      <w:r w:rsidR="00FF6D9E">
        <w:rPr>
          <w:rFonts w:cs="Arial"/>
          <w:b/>
          <w:sz w:val="24"/>
        </w:rPr>
        <w:t>’</w:t>
      </w:r>
    </w:p>
    <w:p w:rsidR="00976E28" w:rsidRPr="003F639A" w:rsidRDefault="00976E28" w:rsidP="00976E28">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1B1A2F">
        <w:rPr>
          <w:rFonts w:cs="Arial"/>
          <w:b/>
          <w:spacing w:val="-3"/>
          <w:szCs w:val="22"/>
        </w:rPr>
        <w:t>4</w:t>
      </w:r>
      <w:r w:rsidR="00413FDD">
        <w:rPr>
          <w:rFonts w:cs="Arial"/>
          <w:b/>
          <w:spacing w:val="-3"/>
          <w:szCs w:val="22"/>
        </w:rPr>
        <w:t xml:space="preserve"> </w:t>
      </w:r>
      <w:r w:rsidR="001B1A2F">
        <w:rPr>
          <w:rFonts w:cs="Arial"/>
          <w:b/>
          <w:spacing w:val="-3"/>
          <w:szCs w:val="22"/>
        </w:rPr>
        <w:t>J</w:t>
      </w:r>
      <w:r w:rsidR="00FF6D9E">
        <w:rPr>
          <w:rFonts w:cs="Arial"/>
          <w:b/>
          <w:spacing w:val="-3"/>
          <w:szCs w:val="22"/>
        </w:rPr>
        <w:t>uly</w:t>
      </w:r>
      <w:r w:rsidR="00413FDD">
        <w:rPr>
          <w:rFonts w:cs="Arial"/>
          <w:b/>
          <w:spacing w:val="-3"/>
          <w:szCs w:val="22"/>
        </w:rPr>
        <w:t xml:space="preserve"> 201</w:t>
      </w:r>
      <w:r w:rsidR="001B1A2F">
        <w:rPr>
          <w:rFonts w:cs="Arial"/>
          <w:b/>
          <w:spacing w:val="-3"/>
          <w:szCs w:val="22"/>
        </w:rPr>
        <w:t>7</w:t>
      </w:r>
      <w:r w:rsidRPr="00694354">
        <w:rPr>
          <w:rFonts w:cs="Arial"/>
          <w:spacing w:val="-3"/>
          <w:szCs w:val="22"/>
        </w:rPr>
        <w:t xml:space="preserve"> to </w:t>
      </w:r>
      <w:hyperlink r:id="rId9"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B80E96">
        <w:rPr>
          <w:rFonts w:cs="Arial"/>
          <w:szCs w:val="22"/>
        </w:rPr>
        <w:t>Caroline Wright</w:t>
      </w:r>
      <w:r w:rsidR="001B1A2F">
        <w:rPr>
          <w:rFonts w:cs="Arial"/>
          <w:szCs w:val="22"/>
        </w:rPr>
        <w:t xml:space="preserve"> </w:t>
      </w:r>
      <w:r>
        <w:rPr>
          <w:rFonts w:cs="Arial"/>
          <w:szCs w:val="22"/>
        </w:rPr>
        <w:t xml:space="preserve">at </w:t>
      </w:r>
      <w:hyperlink r:id="rId10" w:history="1">
        <w:r w:rsidR="00FF6D9E" w:rsidRPr="00C2758A">
          <w:rPr>
            <w:rStyle w:val="Hyperlink"/>
            <w:rFonts w:cs="Arial"/>
            <w:szCs w:val="22"/>
          </w:rPr>
          <w:t>caroline.wright@nationalgrid.com</w:t>
        </w:r>
      </w:hyperlink>
    </w:p>
    <w:p w:rsidR="00E62A86" w:rsidRPr="00651F79" w:rsidRDefault="00E62A86"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132BAC" w:rsidRPr="00132BAC" w:rsidRDefault="00132BAC" w:rsidP="00297D2F">
            <w:pPr>
              <w:pStyle w:val="BodyText"/>
              <w:rPr>
                <w:b/>
              </w:rPr>
            </w:pPr>
            <w:r w:rsidRPr="00132BAC">
              <w:rPr>
                <w:b/>
              </w:rPr>
              <w:t>Use of System Charging Methodology</w:t>
            </w:r>
          </w:p>
          <w:p w:rsidR="00FF6D9E" w:rsidRPr="00FF6D9E" w:rsidRDefault="00FF6D9E" w:rsidP="00297D2F">
            <w:pPr>
              <w:pStyle w:val="BodyText"/>
            </w:pPr>
            <w:r w:rsidRPr="00FF6D9E">
              <w:t xml:space="preserve">(a) That compliance with the use of system charging methodology facilitates effective competition in the generation and supply of electricity and (so far as is consistent therewith) facilitates competition in the sale, distribution and purchase of electricity; </w:t>
            </w:r>
          </w:p>
          <w:p w:rsidR="00FF6D9E" w:rsidRPr="00FF6D9E" w:rsidRDefault="00FF6D9E" w:rsidP="00297D2F">
            <w:pPr>
              <w:pStyle w:val="BodyText"/>
            </w:pPr>
            <w:r w:rsidRPr="00FF6D9E">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FF6D9E" w:rsidRPr="00FF6D9E" w:rsidRDefault="00FF6D9E" w:rsidP="00297D2F">
            <w:pPr>
              <w:pStyle w:val="BodyText"/>
            </w:pPr>
            <w:r w:rsidRPr="00FF6D9E">
              <w:t>(c) That, so far as is consistent with sub-paragraphs (a) and (b), the use of system charging  methodology, as far as is reasonably practicable, properly takes account of the developments in transmission licensees’ transmission businesses*;</w:t>
            </w:r>
          </w:p>
          <w:p w:rsidR="00FF6D9E" w:rsidRDefault="00FF6D9E" w:rsidP="00297D2F">
            <w:pPr>
              <w:pStyle w:val="BodyText"/>
            </w:pPr>
            <w:r w:rsidRPr="00FF6D9E">
              <w:t xml:space="preserve">(d) Compliance with the Electricity Regulation and any relevant legally binding decision of the European Commission and/or the </w:t>
            </w:r>
            <w:r w:rsidRPr="00FF6D9E">
              <w:lastRenderedPageBreak/>
              <w:t>Agency. These are defined within the National Grid Electricity Transmission plc Licence under Standard Condition C10, paragraph 1; and</w:t>
            </w:r>
          </w:p>
          <w:p w:rsidR="00E62A86" w:rsidRPr="00FF6D9E" w:rsidRDefault="00FF6D9E" w:rsidP="00297D2F">
            <w:pPr>
              <w:pStyle w:val="BodyText"/>
            </w:pPr>
            <w:bookmarkStart w:id="1" w:name="_GoBack"/>
            <w:bookmarkEnd w:id="1"/>
            <w:r w:rsidRPr="00FF6D9E">
              <w:t>(e) Promoting efficiency in the implementation and administration of the CUSC arrangements.</w:t>
            </w:r>
          </w:p>
        </w:tc>
      </w:tr>
    </w:tbl>
    <w:p w:rsidR="00297D2F" w:rsidRDefault="00297D2F" w:rsidP="00E62A86">
      <w:pPr>
        <w:rPr>
          <w:b/>
        </w:rPr>
      </w:pPr>
    </w:p>
    <w:p w:rsidR="00297D2F" w:rsidRDefault="00297D2F" w:rsidP="00E62A86">
      <w:pPr>
        <w:rPr>
          <w:b/>
        </w:rPr>
      </w:pPr>
    </w:p>
    <w:p w:rsidR="00297D2F" w:rsidRDefault="00297D2F" w:rsidP="00E62A86">
      <w:pPr>
        <w:rPr>
          <w:b/>
        </w:rPr>
      </w:pPr>
    </w:p>
    <w:p w:rsidR="00E62A86" w:rsidRDefault="007E526A" w:rsidP="00E62A86">
      <w:pPr>
        <w:rPr>
          <w:b/>
        </w:rPr>
      </w:pPr>
      <w:r w:rsidRPr="007E526A">
        <w:rPr>
          <w:b/>
        </w:rPr>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7E526A" w:rsidRPr="007043A3" w:rsidRDefault="00413FDD" w:rsidP="001B1A2F">
            <w:pPr>
              <w:rPr>
                <w:rFonts w:cs="Arial"/>
                <w:b/>
                <w:bCs/>
                <w:szCs w:val="22"/>
              </w:rPr>
            </w:pPr>
            <w:r>
              <w:rPr>
                <w:rFonts w:cs="Arial"/>
                <w:b/>
                <w:szCs w:val="22"/>
              </w:rPr>
              <w:t>Do you believe that CMP2</w:t>
            </w:r>
            <w:r w:rsidR="00FF6D9E">
              <w:rPr>
                <w:rFonts w:cs="Arial"/>
                <w:b/>
                <w:szCs w:val="22"/>
              </w:rPr>
              <w:t>75</w:t>
            </w:r>
            <w:r w:rsidR="00BF1F85" w:rsidRPr="00BF1F85">
              <w:rPr>
                <w:rFonts w:cs="Arial"/>
                <w:b/>
                <w:szCs w:val="22"/>
              </w:rPr>
              <w:t xml:space="preserve"> Original proposal, or any potential alternatives for change that you wish to suggest, better facilitates the Applicable CUSC Objectives?</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2</w:t>
            </w:r>
          </w:p>
        </w:tc>
        <w:tc>
          <w:tcPr>
            <w:tcW w:w="3057"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Default="007E526A" w:rsidP="00731A0D">
            <w:pPr>
              <w:rPr>
                <w:rFonts w:cs="Arial"/>
                <w:szCs w:val="22"/>
              </w:rPr>
            </w:pPr>
            <w:r>
              <w:rPr>
                <w:rFonts w:cs="Arial"/>
                <w:szCs w:val="22"/>
              </w:rPr>
              <w:t>3</w:t>
            </w:r>
          </w:p>
        </w:tc>
        <w:tc>
          <w:tcPr>
            <w:tcW w:w="3057"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6336" w:type="dxa"/>
          </w:tcPr>
          <w:p w:rsidR="007E526A" w:rsidRPr="00651F79" w:rsidRDefault="007E526A" w:rsidP="00731A0D">
            <w:pPr>
              <w:rPr>
                <w:rFonts w:cs="Arial"/>
                <w:szCs w:val="22"/>
              </w:rPr>
            </w:pPr>
          </w:p>
        </w:tc>
      </w:tr>
      <w:tr w:rsidR="00C15869" w:rsidRPr="00651F79" w:rsidTr="00731A0D">
        <w:trPr>
          <w:cantSplit/>
          <w:trHeight w:val="267"/>
        </w:trPr>
        <w:tc>
          <w:tcPr>
            <w:tcW w:w="567" w:type="dxa"/>
          </w:tcPr>
          <w:p w:rsidR="00C15869" w:rsidRDefault="00C15869" w:rsidP="00731A0D">
            <w:pPr>
              <w:rPr>
                <w:rFonts w:cs="Arial"/>
                <w:szCs w:val="22"/>
              </w:rPr>
            </w:pPr>
            <w:r>
              <w:rPr>
                <w:rFonts w:cs="Arial"/>
                <w:szCs w:val="22"/>
              </w:rPr>
              <w:t>4</w:t>
            </w:r>
          </w:p>
        </w:tc>
        <w:tc>
          <w:tcPr>
            <w:tcW w:w="3057" w:type="dxa"/>
          </w:tcPr>
          <w:p w:rsidR="00C15869" w:rsidRPr="00651F79" w:rsidRDefault="00C15869" w:rsidP="00891EDA">
            <w:pPr>
              <w:pStyle w:val="BodyText"/>
              <w:rPr>
                <w:rFonts w:cs="Arial"/>
                <w:b/>
                <w:szCs w:val="22"/>
              </w:rPr>
            </w:pPr>
            <w:r w:rsidRPr="00651F79">
              <w:rPr>
                <w:rFonts w:cs="Arial"/>
                <w:b/>
                <w:szCs w:val="22"/>
              </w:rPr>
              <w:t xml:space="preserve">Do you wish to raise a WG Consultation Alternative Request for the </w:t>
            </w:r>
            <w:r>
              <w:rPr>
                <w:rFonts w:cs="Arial"/>
                <w:b/>
                <w:szCs w:val="22"/>
              </w:rPr>
              <w:t>Workgroup</w:t>
            </w:r>
            <w:r w:rsidRPr="00651F79">
              <w:rPr>
                <w:rFonts w:cs="Arial"/>
                <w:b/>
                <w:szCs w:val="22"/>
              </w:rPr>
              <w:t xml:space="preserve"> to consider? </w:t>
            </w:r>
          </w:p>
          <w:p w:rsidR="00C15869" w:rsidRPr="007043A3" w:rsidRDefault="00C15869" w:rsidP="00891EDA">
            <w:pPr>
              <w:rPr>
                <w:b/>
                <w:bCs/>
              </w:rPr>
            </w:pPr>
          </w:p>
        </w:tc>
        <w:tc>
          <w:tcPr>
            <w:tcW w:w="6336" w:type="dxa"/>
          </w:tcPr>
          <w:p w:rsidR="00C15869" w:rsidRDefault="00C15869" w:rsidP="00891EDA">
            <w:pPr>
              <w:rPr>
                <w:rFonts w:cs="Arial"/>
                <w:i/>
                <w:szCs w:val="22"/>
              </w:rPr>
            </w:pPr>
            <w:r w:rsidRPr="00651F79">
              <w:rPr>
                <w:rFonts w:cs="Arial"/>
                <w:i/>
                <w:szCs w:val="22"/>
              </w:rPr>
              <w:t>If yes, please complete a WG Consultation Alternative Request form, available on National Grid</w:t>
            </w:r>
            <w:smartTag w:uri="urn:schemas-microsoft-com:office:smarttags" w:element="PersonName">
              <w:r w:rsidRPr="00651F79">
                <w:rPr>
                  <w:rFonts w:cs="Arial"/>
                  <w:i/>
                  <w:szCs w:val="22"/>
                </w:rPr>
                <w:t>'</w:t>
              </w:r>
            </w:smartTag>
            <w:r w:rsidRPr="00651F79">
              <w:rPr>
                <w:rFonts w:cs="Arial"/>
                <w:i/>
                <w:szCs w:val="22"/>
              </w:rPr>
              <w:t>s 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1" w:history="1">
              <w:r w:rsidR="00594962" w:rsidRPr="00634A2E">
                <w:rPr>
                  <w:rStyle w:val="Hyperlink"/>
                  <w:rFonts w:cs="Arial"/>
                  <w:i/>
                  <w:szCs w:val="22"/>
                </w:rPr>
                <w:t>cusc.team@nationalgrid.com</w:t>
              </w:r>
            </w:hyperlink>
          </w:p>
          <w:p w:rsidR="00594962" w:rsidRPr="00651F79" w:rsidRDefault="00594962" w:rsidP="00891EDA">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Pr="00D96B36">
        <w:rPr>
          <w:rFonts w:cs="Arial"/>
          <w:b/>
          <w:szCs w:val="22"/>
        </w:rPr>
        <w:t>CM</w:t>
      </w:r>
      <w:r w:rsidR="001B1A2F">
        <w:rPr>
          <w:rFonts w:cs="Arial"/>
          <w:b/>
          <w:szCs w:val="22"/>
        </w:rPr>
        <w:t>P27</w:t>
      </w:r>
      <w:r w:rsidR="00FF6D9E">
        <w:rPr>
          <w:rFonts w:cs="Arial"/>
          <w:b/>
          <w:szCs w:val="22"/>
        </w:rPr>
        <w:t>5</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E62A86" w:rsidRPr="00651F79" w:rsidTr="00FA07C6">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057"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6336"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E62A86" w:rsidRPr="00651F79" w:rsidTr="009963D4">
        <w:trPr>
          <w:cantSplit/>
          <w:trHeight w:val="267"/>
        </w:trPr>
        <w:tc>
          <w:tcPr>
            <w:tcW w:w="567" w:type="dxa"/>
          </w:tcPr>
          <w:p w:rsidR="00E62A86" w:rsidRPr="00651F79" w:rsidRDefault="00594962" w:rsidP="00E62A86">
            <w:pPr>
              <w:rPr>
                <w:rFonts w:cs="Arial"/>
                <w:szCs w:val="22"/>
              </w:rPr>
            </w:pPr>
            <w:r>
              <w:rPr>
                <w:rFonts w:cs="Arial"/>
                <w:szCs w:val="22"/>
              </w:rPr>
              <w:lastRenderedPageBreak/>
              <w:t>5</w:t>
            </w:r>
          </w:p>
        </w:tc>
        <w:tc>
          <w:tcPr>
            <w:tcW w:w="3057" w:type="dxa"/>
          </w:tcPr>
          <w:p w:rsidR="009179DF" w:rsidRPr="00297D2F" w:rsidRDefault="00297D2F" w:rsidP="00057443">
            <w:pPr>
              <w:rPr>
                <w:rFonts w:cs="Arial"/>
                <w:b/>
                <w:szCs w:val="22"/>
              </w:rPr>
            </w:pPr>
            <w:r w:rsidRPr="00297D2F">
              <w:rPr>
                <w:b/>
                <w:szCs w:val="22"/>
              </w:rPr>
              <w:t>With the planned implementation of the European Network Codes/Guidelines in GB and the obligations thus placed on National Grid, do you consider this to be the appropriate time to consider the proposed defect as procurement of, and the balancing services themselves will potentially require modification to meet the requirements of those Network Code/Guidelines?</w:t>
            </w:r>
          </w:p>
        </w:tc>
        <w:tc>
          <w:tcPr>
            <w:tcW w:w="6336" w:type="dxa"/>
          </w:tcPr>
          <w:p w:rsidR="00E62A86" w:rsidRPr="00594962" w:rsidRDefault="00E62A86" w:rsidP="00E62A86">
            <w:pPr>
              <w:rPr>
                <w:rFonts w:cs="Arial"/>
                <w:szCs w:val="22"/>
              </w:rPr>
            </w:pPr>
          </w:p>
        </w:tc>
      </w:tr>
      <w:tr w:rsidR="00E62A86" w:rsidRPr="00651F79" w:rsidTr="009963D4">
        <w:trPr>
          <w:cantSplit/>
          <w:trHeight w:val="267"/>
        </w:trPr>
        <w:tc>
          <w:tcPr>
            <w:tcW w:w="567" w:type="dxa"/>
          </w:tcPr>
          <w:p w:rsidR="00E62A86" w:rsidRPr="00651F79" w:rsidRDefault="00594962" w:rsidP="00E62A86">
            <w:pPr>
              <w:rPr>
                <w:rFonts w:cs="Arial"/>
                <w:szCs w:val="22"/>
              </w:rPr>
            </w:pPr>
            <w:r>
              <w:rPr>
                <w:rFonts w:cs="Arial"/>
                <w:szCs w:val="22"/>
              </w:rPr>
              <w:t>6</w:t>
            </w:r>
          </w:p>
        </w:tc>
        <w:tc>
          <w:tcPr>
            <w:tcW w:w="3057" w:type="dxa"/>
          </w:tcPr>
          <w:p w:rsidR="009179DF" w:rsidRPr="00297D2F" w:rsidRDefault="00297D2F" w:rsidP="00BF1F85">
            <w:pPr>
              <w:rPr>
                <w:rFonts w:cs="Arial"/>
                <w:b/>
                <w:szCs w:val="22"/>
              </w:rPr>
            </w:pPr>
            <w:r w:rsidRPr="00297D2F">
              <w:rPr>
                <w:b/>
                <w:szCs w:val="22"/>
              </w:rPr>
              <w:t>Do you consider that the scope of this defect is out of scope of the CUSC and that the C16 Procurement Guideline statements of National Grid are, in this instance, the natural home for such changes to be considered and agreed between National Grid (as SO) and Ofgem</w:t>
            </w:r>
            <w:r w:rsidR="001B1A2F" w:rsidRPr="00297D2F">
              <w:rPr>
                <w:rFonts w:cs="Arial"/>
                <w:b/>
                <w:szCs w:val="22"/>
              </w:rPr>
              <w:t>?</w:t>
            </w:r>
          </w:p>
        </w:tc>
        <w:tc>
          <w:tcPr>
            <w:tcW w:w="6336" w:type="dxa"/>
          </w:tcPr>
          <w:p w:rsidR="00E62A86" w:rsidRPr="00594962" w:rsidRDefault="00E62A86" w:rsidP="00E62A86">
            <w:pPr>
              <w:rPr>
                <w:rFonts w:cs="Arial"/>
                <w:szCs w:val="22"/>
              </w:rPr>
            </w:pPr>
          </w:p>
        </w:tc>
      </w:tr>
      <w:tr w:rsidR="00297D2F" w:rsidRPr="00651F79" w:rsidTr="009963D4">
        <w:trPr>
          <w:cantSplit/>
          <w:trHeight w:val="267"/>
        </w:trPr>
        <w:tc>
          <w:tcPr>
            <w:tcW w:w="567" w:type="dxa"/>
          </w:tcPr>
          <w:p w:rsidR="00297D2F" w:rsidRDefault="00297D2F" w:rsidP="00E62A86">
            <w:pPr>
              <w:rPr>
                <w:rFonts w:cs="Arial"/>
                <w:szCs w:val="22"/>
              </w:rPr>
            </w:pPr>
            <w:r>
              <w:rPr>
                <w:rFonts w:cs="Arial"/>
                <w:szCs w:val="22"/>
              </w:rPr>
              <w:t>7</w:t>
            </w:r>
          </w:p>
        </w:tc>
        <w:tc>
          <w:tcPr>
            <w:tcW w:w="3057" w:type="dxa"/>
          </w:tcPr>
          <w:p w:rsidR="00297D2F" w:rsidRPr="00297D2F" w:rsidRDefault="00297D2F" w:rsidP="00BF1F85">
            <w:pPr>
              <w:rPr>
                <w:b/>
                <w:szCs w:val="22"/>
              </w:rPr>
            </w:pPr>
            <w:r w:rsidRPr="00297D2F">
              <w:rPr>
                <w:b/>
                <w:szCs w:val="22"/>
              </w:rPr>
              <w:t xml:space="preserve">Do you believe the potential additional complexity </w:t>
            </w:r>
            <w:r w:rsidRPr="00297D2F">
              <w:rPr>
                <w:b/>
                <w:i/>
                <w:szCs w:val="22"/>
              </w:rPr>
              <w:t>added</w:t>
            </w:r>
            <w:r w:rsidRPr="00297D2F">
              <w:rPr>
                <w:b/>
                <w:szCs w:val="22"/>
              </w:rPr>
              <w:t xml:space="preserve"> to tendered ancillary and balancing services may reduce the breadth and depth of tenders received by National Grid and may therefore adversely impact the number of services and/or the costs of those services procured by National Grid?</w:t>
            </w:r>
          </w:p>
        </w:tc>
        <w:tc>
          <w:tcPr>
            <w:tcW w:w="6336" w:type="dxa"/>
          </w:tcPr>
          <w:p w:rsidR="00297D2F" w:rsidRPr="00594962" w:rsidRDefault="00297D2F" w:rsidP="00E62A86">
            <w:pPr>
              <w:rPr>
                <w:rFonts w:cs="Arial"/>
                <w:szCs w:val="22"/>
              </w:rPr>
            </w:pPr>
          </w:p>
        </w:tc>
      </w:tr>
      <w:tr w:rsidR="00297D2F" w:rsidRPr="00651F79" w:rsidTr="009963D4">
        <w:trPr>
          <w:cantSplit/>
          <w:trHeight w:val="267"/>
        </w:trPr>
        <w:tc>
          <w:tcPr>
            <w:tcW w:w="567" w:type="dxa"/>
          </w:tcPr>
          <w:p w:rsidR="00297D2F" w:rsidRDefault="00297D2F" w:rsidP="00E62A86">
            <w:pPr>
              <w:rPr>
                <w:rFonts w:cs="Arial"/>
                <w:szCs w:val="22"/>
              </w:rPr>
            </w:pPr>
            <w:r>
              <w:rPr>
                <w:rFonts w:cs="Arial"/>
                <w:szCs w:val="22"/>
              </w:rPr>
              <w:lastRenderedPageBreak/>
              <w:t>8</w:t>
            </w:r>
          </w:p>
        </w:tc>
        <w:tc>
          <w:tcPr>
            <w:tcW w:w="3057" w:type="dxa"/>
          </w:tcPr>
          <w:p w:rsidR="00297D2F" w:rsidRPr="00297D2F" w:rsidRDefault="00297D2F" w:rsidP="00BF1F85">
            <w:pPr>
              <w:rPr>
                <w:b/>
                <w:szCs w:val="22"/>
              </w:rPr>
            </w:pPr>
            <w:r w:rsidRPr="00297D2F">
              <w:rPr>
                <w:b/>
                <w:szCs w:val="22"/>
              </w:rPr>
              <w:t>Do you believe there are any services missing or any services included in the Appendix 1 and Appendix 2 that should not be included? If this is the case please provide supporting rationale.</w:t>
            </w:r>
          </w:p>
        </w:tc>
        <w:tc>
          <w:tcPr>
            <w:tcW w:w="6336" w:type="dxa"/>
          </w:tcPr>
          <w:p w:rsidR="00297D2F" w:rsidRPr="00594962" w:rsidRDefault="00297D2F" w:rsidP="00E62A86">
            <w:pPr>
              <w:rPr>
                <w:rFonts w:cs="Arial"/>
                <w:szCs w:val="22"/>
              </w:rPr>
            </w:pPr>
          </w:p>
        </w:tc>
      </w:tr>
    </w:tbl>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9E" w:rsidRDefault="00FF6D9E">
      <w:r>
        <w:separator/>
      </w:r>
    </w:p>
  </w:footnote>
  <w:footnote w:type="continuationSeparator" w:id="0">
    <w:p w:rsidR="00FF6D9E" w:rsidRDefault="00FF6D9E">
      <w:r>
        <w:continuationSeparator/>
      </w:r>
    </w:p>
  </w:footnote>
  <w:footnote w:id="1">
    <w:p w:rsidR="00FF6D9E" w:rsidRPr="002368F6" w:rsidRDefault="00FF6D9E" w:rsidP="007E526A">
      <w:pPr>
        <w:pStyle w:val="FootnoteText"/>
      </w:pPr>
      <w:r>
        <w:rPr>
          <w:rStyle w:val="FootnoteReference"/>
        </w:rPr>
        <w:footnoteRef/>
      </w:r>
      <w:r>
        <w:t xml:space="preserve"> </w:t>
      </w:r>
      <w:hyperlink r:id="rId1" w:history="1">
        <w:r w:rsidRPr="00D71A5C">
          <w:rPr>
            <w:rStyle w:val="Hyperlink"/>
          </w:rPr>
          <w:t>http://www.nationalgrid.com/uk/Electricity/Codes/systemcode/amendments/forms_guidance/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42B12"/>
    <w:rsid w:val="00196A22"/>
    <w:rsid w:val="001A38EA"/>
    <w:rsid w:val="001B1A2F"/>
    <w:rsid w:val="001D2A93"/>
    <w:rsid w:val="001E44D8"/>
    <w:rsid w:val="001E6AE5"/>
    <w:rsid w:val="002042CC"/>
    <w:rsid w:val="002060CE"/>
    <w:rsid w:val="0021533A"/>
    <w:rsid w:val="002362A8"/>
    <w:rsid w:val="002368F6"/>
    <w:rsid w:val="00242625"/>
    <w:rsid w:val="00245FF6"/>
    <w:rsid w:val="00253EEF"/>
    <w:rsid w:val="00297D2F"/>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c.team@nationalgrid.com" TargetMode="External"/><Relationship Id="rId5" Type="http://schemas.openxmlformats.org/officeDocument/2006/relationships/settings" Target="settings.xml"/><Relationship Id="rId10" Type="http://schemas.openxmlformats.org/officeDocument/2006/relationships/hyperlink" Target="mailto:caroline.wright@nationalgrid.com" TargetMode="External"/><Relationship Id="rId4" Type="http://schemas.microsoft.com/office/2007/relationships/stylesWithEffects" Target="stylesWithEffects.xml"/><Relationship Id="rId9" Type="http://schemas.openxmlformats.org/officeDocument/2006/relationships/hyperlink" Target="mailto:cusc.team@national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grid.com/uk/Electricity/Codes/systemcode/amendments/forms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3D3C-80C8-4F1C-9C2A-7CA24344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656</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4610</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Caroline Wright</cp:lastModifiedBy>
  <cp:revision>4</cp:revision>
  <cp:lastPrinted>2015-11-26T14:15:00Z</cp:lastPrinted>
  <dcterms:created xsi:type="dcterms:W3CDTF">2017-06-09T07:36:00Z</dcterms:created>
  <dcterms:modified xsi:type="dcterms:W3CDTF">2017-06-09T13:55:00Z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1945118818</vt:i4>
  </property>
  <property fmtid="{D5CDD505-2E9C-101B-9397-08002B2CF9AE}" pid="3" name="_NewReviewCycle">
    <vt:lpwstr/>
  </property>
  <property fmtid="{D5CDD505-2E9C-101B-9397-08002B2CF9AE}" pid="4" name="_EmailSubject">
    <vt:lpwstr>Items missing old and new website</vt:lpwstr>
  </property>
  <property fmtid="{D5CDD505-2E9C-101B-9397-08002B2CF9AE}" pid="5" name="_AuthorEmail">
    <vt:lpwstr>Caroline.Wright@nationalgrid.com</vt:lpwstr>
  </property>
  <property fmtid="{D5CDD505-2E9C-101B-9397-08002B2CF9AE}" pid="6" name="_AuthorEmailDisplayName">
    <vt:lpwstr>Wright, Caroline</vt:lpwstr>
  </property>
</Properties>
</file>