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r>
        <w:t>CUSC Code Administrator</w:t>
      </w:r>
      <w:r w:rsidR="00A66116">
        <w:t xml:space="preserve"> Consultation Response </w:t>
      </w:r>
      <w:proofErr w:type="spellStart"/>
      <w:r w:rsidR="00A66116">
        <w:t>Proforma</w:t>
      </w:r>
      <w:bookmarkEnd w:id="0"/>
      <w:proofErr w:type="spellEnd"/>
    </w:p>
    <w:p w:rsidR="002B6158" w:rsidRPr="00A66116" w:rsidRDefault="002B6158">
      <w:pPr>
        <w:rPr>
          <w:rFonts w:ascii="Arial" w:hAnsi="Arial" w:cs="Arial"/>
        </w:rPr>
      </w:pPr>
    </w:p>
    <w:p w:rsidR="002F1A1F" w:rsidRDefault="00414B6B">
      <w:pPr>
        <w:rPr>
          <w:rFonts w:ascii="Arial" w:hAnsi="Arial" w:cs="Arial"/>
          <w:b/>
        </w:rPr>
      </w:pPr>
      <w:r>
        <w:rPr>
          <w:rFonts w:ascii="Arial" w:hAnsi="Arial" w:cs="Arial"/>
          <w:b/>
        </w:rPr>
        <w:t>CMP2</w:t>
      </w:r>
      <w:r w:rsidR="002F1A1F">
        <w:rPr>
          <w:rFonts w:ascii="Arial" w:hAnsi="Arial" w:cs="Arial"/>
          <w:b/>
        </w:rPr>
        <w:t>60</w:t>
      </w:r>
      <w:r w:rsidR="00FB76A4">
        <w:rPr>
          <w:rFonts w:ascii="Arial" w:hAnsi="Arial" w:cs="Arial"/>
          <w:b/>
        </w:rPr>
        <w:t xml:space="preserve"> ‘</w:t>
      </w:r>
      <w:r w:rsidR="002F1A1F" w:rsidRPr="002F1A1F">
        <w:rPr>
          <w:rFonts w:ascii="Arial" w:hAnsi="Arial" w:cs="Arial"/>
          <w:b/>
        </w:rPr>
        <w:t xml:space="preserve">TNUoS Demand charges for 2016/17 during the implementation of P272 following approval of P322 and </w:t>
      </w:r>
      <w:r w:rsidR="003D7E93">
        <w:rPr>
          <w:rFonts w:ascii="Arial" w:hAnsi="Arial" w:cs="Arial"/>
          <w:b/>
        </w:rPr>
        <w:t>CMP247’</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bookmarkStart w:id="1" w:name="_GoBack"/>
      <w:bookmarkEnd w:id="1"/>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2F1A1F" w:rsidRPr="002F1A1F">
        <w:rPr>
          <w:rFonts w:ascii="Arial" w:hAnsi="Arial" w:cs="Arial"/>
          <w:b/>
        </w:rPr>
        <w:t>18 May</w:t>
      </w:r>
      <w:r w:rsidR="00414B6B">
        <w:rPr>
          <w:rFonts w:ascii="Arial" w:hAnsi="Arial" w:cs="Arial"/>
          <w:b/>
        </w:rPr>
        <w:t xml:space="preserve"> 2016</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w:t>
      </w:r>
      <w:r w:rsidR="00414B6B">
        <w:rPr>
          <w:rFonts w:ascii="Arial" w:hAnsi="Arial" w:cs="Arial"/>
        </w:rPr>
        <w:t>Heena Chauhan</w:t>
      </w:r>
      <w:r>
        <w:rPr>
          <w:rFonts w:ascii="Arial" w:hAnsi="Arial" w:cs="Arial"/>
        </w:rPr>
        <w:t xml:space="preserve"> at </w:t>
      </w:r>
      <w:hyperlink r:id="rId9" w:history="1">
        <w:r w:rsidR="00414B6B" w:rsidRPr="00B344EA">
          <w:rPr>
            <w:rStyle w:val="Hyperlink"/>
            <w:rFonts w:ascii="Arial" w:hAnsi="Arial" w:cs="Arial"/>
          </w:rPr>
          <w:t>heena.chauhan@nationalgrid.com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077067" w:rsidRPr="00077067" w:rsidRDefault="00077067" w:rsidP="00077067">
            <w:pPr>
              <w:pStyle w:val="BodyText"/>
              <w:rPr>
                <w:b/>
              </w:rPr>
            </w:pPr>
            <w:r w:rsidRPr="00077067">
              <w:rPr>
                <w:b/>
              </w:rPr>
              <w:t>Use of System Charging Methodology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a) that compliance with the use of system charging methodology facilitates effective competition in the generation and supply of electricity and (so far as is consistent therewith) facilitates competition in the sale, distribution and purchase of electricity;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r>
              <w:rPr>
                <w:szCs w:val="22"/>
              </w:rPr>
              <w:t xml:space="preserve"> </w:t>
            </w:r>
          </w:p>
          <w:p w:rsidR="00077067" w:rsidRPr="00077067" w:rsidRDefault="00077067" w:rsidP="00077067">
            <w:pPr>
              <w:pStyle w:val="BodyText"/>
              <w:tabs>
                <w:tab w:val="left" w:pos="720"/>
              </w:tabs>
              <w:rPr>
                <w:szCs w:val="22"/>
              </w:rPr>
            </w:pPr>
            <w:r w:rsidRPr="00077067">
              <w:rPr>
                <w:szCs w:val="22"/>
              </w:rPr>
              <w:t xml:space="preserve">(c) </w:t>
            </w:r>
            <w:proofErr w:type="gramStart"/>
            <w:r w:rsidRPr="00077067">
              <w:rPr>
                <w:szCs w:val="22"/>
              </w:rPr>
              <w:t>that</w:t>
            </w:r>
            <w:proofErr w:type="gramEnd"/>
            <w:r w:rsidRPr="00077067">
              <w:rPr>
                <w:szCs w:val="22"/>
              </w:rPr>
              <w:t>, so far as is consistent with sub-paragraphs (a) and (b), the use of system charging methodology, as far as is reasonably practicable, properly takes account of the developments in transmission licensees' transmission businesses.</w:t>
            </w:r>
          </w:p>
          <w:p w:rsidR="00077067" w:rsidRPr="00077067" w:rsidRDefault="00077067" w:rsidP="00077067">
            <w:pPr>
              <w:pStyle w:val="BodyText"/>
              <w:tabs>
                <w:tab w:val="left" w:pos="720"/>
              </w:tabs>
              <w:rPr>
                <w:szCs w:val="22"/>
              </w:rPr>
            </w:pPr>
            <w:r w:rsidRPr="00077067">
              <w:rPr>
                <w:szCs w:val="22"/>
              </w:rPr>
              <w:t xml:space="preserve">(d) </w:t>
            </w:r>
            <w:proofErr w:type="gramStart"/>
            <w:r w:rsidRPr="00077067">
              <w:rPr>
                <w:szCs w:val="22"/>
              </w:rPr>
              <w:t>compliance</w:t>
            </w:r>
            <w:proofErr w:type="gramEnd"/>
            <w:r w:rsidRPr="00077067">
              <w:rPr>
                <w:szCs w:val="22"/>
              </w:rPr>
              <w:t xml:space="preserve"> with the Electricity Regulation and any relevant legally binding decision of the European Commission and/or the Agency.</w:t>
            </w:r>
          </w:p>
          <w:p w:rsidR="00077067" w:rsidRPr="00077067" w:rsidRDefault="00077067" w:rsidP="00077067">
            <w:pPr>
              <w:pStyle w:val="BodyText"/>
              <w:tabs>
                <w:tab w:val="left" w:pos="720"/>
              </w:tabs>
              <w:rPr>
                <w:szCs w:val="22"/>
              </w:rPr>
            </w:pPr>
            <w:r w:rsidRPr="00077067">
              <w:rPr>
                <w:szCs w:val="22"/>
              </w:rPr>
              <w:t>These are defined within the National Grid Electricity Transmission plc Licence under Standard Condition C10, paragraph 1.</w:t>
            </w:r>
          </w:p>
          <w:p w:rsidR="00A66116" w:rsidRPr="00077067" w:rsidRDefault="00077067" w:rsidP="00077067">
            <w:pPr>
              <w:pStyle w:val="BodyText"/>
              <w:tabs>
                <w:tab w:val="left" w:pos="720"/>
              </w:tabs>
              <w:rPr>
                <w:b/>
                <w:i/>
                <w:sz w:val="20"/>
                <w:szCs w:val="22"/>
              </w:rPr>
            </w:pPr>
            <w:r w:rsidRPr="00FA02B2">
              <w:rPr>
                <w:b/>
                <w:i/>
                <w:sz w:val="20"/>
                <w:szCs w:val="22"/>
              </w:rPr>
              <w:t>Objective (d) refers specifically to European Regulation 2009/714/EC.  Reference to the Agency is to the Agency for the Cooperation of Energy Regulators (ACER).</w:t>
            </w: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2F1A1F">
              <w:rPr>
                <w:rFonts w:ascii="Arial" w:hAnsi="Arial" w:cs="Arial"/>
                <w:b/>
              </w:rPr>
              <w:t>60</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2D687A">
            <w:pPr>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lastRenderedPageBreak/>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0" w:rsidRDefault="00857A30" w:rsidP="00A112A9">
      <w:pPr>
        <w:spacing w:after="0" w:line="240" w:lineRule="auto"/>
      </w:pPr>
      <w:r>
        <w:separator/>
      </w:r>
    </w:p>
  </w:endnote>
  <w:endnote w:type="continuationSeparator" w:id="0">
    <w:p w:rsidR="00857A30" w:rsidRDefault="00857A30"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0" w:rsidRDefault="00857A30" w:rsidP="00A112A9">
      <w:pPr>
        <w:spacing w:after="0" w:line="240" w:lineRule="auto"/>
      </w:pPr>
      <w:r>
        <w:separator/>
      </w:r>
    </w:p>
  </w:footnote>
  <w:footnote w:type="continuationSeparator" w:id="0">
    <w:p w:rsidR="00857A30" w:rsidRDefault="00857A30"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077067"/>
    <w:rsid w:val="002B6158"/>
    <w:rsid w:val="002D687A"/>
    <w:rsid w:val="002F1A1F"/>
    <w:rsid w:val="00337AEE"/>
    <w:rsid w:val="003D7E93"/>
    <w:rsid w:val="00414B6B"/>
    <w:rsid w:val="004525C7"/>
    <w:rsid w:val="0046069C"/>
    <w:rsid w:val="005C5FF8"/>
    <w:rsid w:val="00666316"/>
    <w:rsid w:val="00695C22"/>
    <w:rsid w:val="006E10A6"/>
    <w:rsid w:val="00716840"/>
    <w:rsid w:val="00721068"/>
    <w:rsid w:val="00857A30"/>
    <w:rsid w:val="0098227F"/>
    <w:rsid w:val="009D7B1B"/>
    <w:rsid w:val="00A112A9"/>
    <w:rsid w:val="00A42ECE"/>
    <w:rsid w:val="00A50AD4"/>
    <w:rsid w:val="00A66116"/>
    <w:rsid w:val="00B87129"/>
    <w:rsid w:val="00BF2154"/>
    <w:rsid w:val="00C01712"/>
    <w:rsid w:val="00C42498"/>
    <w:rsid w:val="00DC3384"/>
    <w:rsid w:val="00E05E8F"/>
    <w:rsid w:val="00E9463E"/>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ena.chauhan@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National Grid</cp:lastModifiedBy>
  <cp:revision>5</cp:revision>
  <dcterms:created xsi:type="dcterms:W3CDTF">2016-05-04T12:18:00Z</dcterms:created>
  <dcterms:modified xsi:type="dcterms:W3CDTF">2016-05-04T12:37:00Z</dcterms:modified>
</cp:coreProperties>
</file>