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 xml:space="preserve">CUSC Workgroup Consultation Response </w:t>
      </w:r>
      <w:proofErr w:type="spellStart"/>
      <w:r>
        <w:t>Proforma</w:t>
      </w:r>
      <w:bookmarkEnd w:id="0"/>
      <w:proofErr w:type="spellEnd"/>
    </w:p>
    <w:p w:rsidR="00E62A86" w:rsidRDefault="00E62A86" w:rsidP="00E62A86">
      <w:pPr>
        <w:rPr>
          <w:rFonts w:cs="Arial"/>
          <w:b/>
          <w:szCs w:val="22"/>
        </w:rPr>
      </w:pPr>
    </w:p>
    <w:p w:rsidR="00652883" w:rsidRDefault="00DD2F0C" w:rsidP="00E62A86">
      <w:pPr>
        <w:rPr>
          <w:rFonts w:cs="Arial"/>
          <w:b/>
          <w:sz w:val="24"/>
        </w:rPr>
      </w:pPr>
      <w:r>
        <w:rPr>
          <w:rFonts w:cs="Arial"/>
          <w:b/>
          <w:sz w:val="24"/>
        </w:rPr>
        <w:t xml:space="preserve">CMP259 </w:t>
      </w:r>
      <w:r w:rsidRPr="00DD2F0C">
        <w:rPr>
          <w:rFonts w:cs="Arial"/>
          <w:b/>
          <w:sz w:val="24"/>
        </w:rPr>
        <w:t>‘Clarification of decrease in TEC as a Modification’</w:t>
      </w:r>
    </w:p>
    <w:p w:rsidR="00DD2F0C" w:rsidRPr="003F639A" w:rsidRDefault="00DD2F0C" w:rsidP="00E62A86">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DD2F0C">
        <w:rPr>
          <w:rFonts w:cs="Arial"/>
          <w:b/>
          <w:spacing w:val="-3"/>
          <w:szCs w:val="22"/>
        </w:rPr>
        <w:t>17:00 3</w:t>
      </w:r>
      <w:r w:rsidR="00DD2F0C" w:rsidRPr="00DD2F0C">
        <w:rPr>
          <w:rFonts w:cs="Arial"/>
          <w:b/>
          <w:spacing w:val="-3"/>
          <w:szCs w:val="22"/>
          <w:vertAlign w:val="superscript"/>
        </w:rPr>
        <w:t>rd</w:t>
      </w:r>
      <w:r w:rsidR="00DD2F0C">
        <w:rPr>
          <w:rFonts w:cs="Arial"/>
          <w:b/>
          <w:spacing w:val="-3"/>
          <w:szCs w:val="22"/>
        </w:rPr>
        <w:t xml:space="preserve"> May 2016</w:t>
      </w:r>
      <w:r w:rsidRPr="00694354">
        <w:rPr>
          <w:rFonts w:cs="Arial"/>
          <w:spacing w:val="-3"/>
          <w:szCs w:val="22"/>
        </w:rPr>
        <w:t xml:space="preserve"> to </w:t>
      </w:r>
      <w:hyperlink r:id="rId8"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DD2F0C">
        <w:rPr>
          <w:rFonts w:cs="Arial"/>
          <w:szCs w:val="22"/>
        </w:rPr>
        <w:t>Christine Brown</w:t>
      </w:r>
      <w:r>
        <w:rPr>
          <w:rFonts w:cs="Arial"/>
          <w:szCs w:val="22"/>
        </w:rPr>
        <w:t xml:space="preserve"> at </w:t>
      </w:r>
      <w:hyperlink r:id="rId9" w:history="1">
        <w:r w:rsidR="00DD2F0C" w:rsidRPr="00756B6A">
          <w:rPr>
            <w:rStyle w:val="Hyperlink"/>
          </w:rPr>
          <w:t>Christine.brown1@nationalgrid.com</w:t>
        </w:r>
      </w:hyperlink>
      <w:r w:rsidR="00DD2F0C">
        <w:t xml:space="preserve"> </w:t>
      </w:r>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762462" w:rsidRPr="00CA495C" w:rsidRDefault="00414685" w:rsidP="00762462">
            <w:pPr>
              <w:pStyle w:val="BodyText"/>
              <w:ind w:left="720"/>
              <w:rPr>
                <w:b/>
              </w:rPr>
            </w:pPr>
            <w:r>
              <w:rPr>
                <w:b/>
              </w:rPr>
              <w:t>Standard CUSC Objectives</w:t>
            </w:r>
          </w:p>
          <w:p w:rsidR="00762462" w:rsidRPr="00FB0730" w:rsidRDefault="00762462" w:rsidP="00762462">
            <w:pPr>
              <w:pStyle w:val="BodyText"/>
              <w:ind w:left="-180"/>
              <w:rPr>
                <w:b/>
                <w:szCs w:val="22"/>
              </w:rPr>
            </w:pPr>
          </w:p>
          <w:p w:rsidR="00414685" w:rsidRPr="00414685" w:rsidRDefault="00414685" w:rsidP="00414685">
            <w:pPr>
              <w:numPr>
                <w:ilvl w:val="0"/>
                <w:numId w:val="3"/>
              </w:numPr>
              <w:tabs>
                <w:tab w:val="num" w:pos="1152"/>
              </w:tabs>
              <w:spacing w:line="240" w:lineRule="auto"/>
              <w:ind w:left="1152"/>
              <w:rPr>
                <w:szCs w:val="20"/>
                <w:lang w:eastAsia="en-US"/>
              </w:rPr>
            </w:pPr>
            <w:r w:rsidRPr="00414685">
              <w:rPr>
                <w:szCs w:val="20"/>
                <w:lang w:eastAsia="en-US"/>
              </w:rPr>
              <w:t>the efficient discharge by the Licensee of the obligations imposed on it by the Act and the Transmission Licence;</w:t>
            </w:r>
          </w:p>
          <w:p w:rsidR="00414685" w:rsidRPr="00414685" w:rsidRDefault="00414685" w:rsidP="00414685">
            <w:pPr>
              <w:spacing w:line="240" w:lineRule="auto"/>
              <w:ind w:left="504"/>
              <w:rPr>
                <w:szCs w:val="20"/>
                <w:lang w:eastAsia="en-US"/>
              </w:rPr>
            </w:pPr>
          </w:p>
          <w:p w:rsidR="00414685" w:rsidRPr="00414685" w:rsidRDefault="00414685" w:rsidP="00414685">
            <w:pPr>
              <w:numPr>
                <w:ilvl w:val="0"/>
                <w:numId w:val="3"/>
              </w:numPr>
              <w:tabs>
                <w:tab w:val="num" w:pos="1152"/>
              </w:tabs>
              <w:spacing w:line="240" w:lineRule="auto"/>
              <w:ind w:left="1152"/>
              <w:rPr>
                <w:szCs w:val="20"/>
                <w:lang w:eastAsia="en-US"/>
              </w:rPr>
            </w:pPr>
            <w:r w:rsidRPr="00414685">
              <w:rPr>
                <w:szCs w:val="20"/>
                <w:lang w:eastAsia="en-US"/>
              </w:rPr>
              <w:t>Facilitating effective competition in the generation and supply of electricity, and (so far as consistent therewith) facilitating such competition in the sale, distribution and purchase of electricity;</w:t>
            </w:r>
          </w:p>
          <w:p w:rsidR="00414685" w:rsidRPr="00414685" w:rsidRDefault="00414685" w:rsidP="00414685">
            <w:pPr>
              <w:tabs>
                <w:tab w:val="num" w:pos="1152"/>
              </w:tabs>
              <w:spacing w:line="240" w:lineRule="auto"/>
              <w:rPr>
                <w:szCs w:val="20"/>
                <w:lang w:eastAsia="en-US"/>
              </w:rPr>
            </w:pPr>
          </w:p>
          <w:p w:rsidR="00414685" w:rsidRPr="00414685" w:rsidRDefault="00414685" w:rsidP="00414685">
            <w:pPr>
              <w:numPr>
                <w:ilvl w:val="0"/>
                <w:numId w:val="3"/>
              </w:numPr>
              <w:tabs>
                <w:tab w:val="num" w:pos="1152"/>
              </w:tabs>
              <w:spacing w:line="240" w:lineRule="auto"/>
              <w:ind w:left="1152"/>
              <w:rPr>
                <w:szCs w:val="20"/>
                <w:lang w:eastAsia="en-US"/>
              </w:rPr>
            </w:pPr>
            <w:r w:rsidRPr="00414685">
              <w:rPr>
                <w:szCs w:val="20"/>
                <w:lang w:eastAsia="en-US"/>
              </w:rPr>
              <w:t>Compliance with the Electricity Regulation and any relevant legally binding decision of the European Commission and/or the Agency.</w:t>
            </w:r>
          </w:p>
          <w:p w:rsidR="00E62A86" w:rsidRPr="00651F79" w:rsidRDefault="00E62A86" w:rsidP="009963D4">
            <w:pPr>
              <w:pStyle w:val="BodyText"/>
              <w:ind w:left="743"/>
              <w:rPr>
                <w:rFonts w:cs="Arial"/>
                <w:szCs w:val="22"/>
              </w:rPr>
            </w:pPr>
          </w:p>
        </w:tc>
      </w:tr>
    </w:tbl>
    <w:p w:rsidR="00E62A86" w:rsidRDefault="00E62A86" w:rsidP="00E62A86"/>
    <w:p w:rsidR="006A3790" w:rsidRDefault="006A3790" w:rsidP="00E62A86"/>
    <w:p w:rsidR="006A3790" w:rsidRDefault="006A3790" w:rsidP="00E62A86"/>
    <w:p w:rsidR="006A3790" w:rsidRDefault="006A3790" w:rsidP="00E62A86"/>
    <w:p w:rsidR="006A3790" w:rsidRDefault="006A3790" w:rsidP="00E62A86"/>
    <w:p w:rsidR="006A3790" w:rsidRDefault="006A3790" w:rsidP="00E62A86"/>
    <w:p w:rsidR="00DD2F0C" w:rsidRDefault="00DD2F0C" w:rsidP="00E62A86"/>
    <w:p w:rsidR="00DD2F0C" w:rsidRDefault="00DD2F0C" w:rsidP="00E62A86"/>
    <w:p w:rsidR="006A3790" w:rsidRDefault="006A3790" w:rsidP="00E62A86"/>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DD2F0C" w:rsidP="00731A0D">
            <w:pPr>
              <w:rPr>
                <w:rFonts w:cs="Arial"/>
                <w:b/>
                <w:bCs/>
                <w:szCs w:val="22"/>
              </w:rPr>
            </w:pPr>
            <w:r>
              <w:rPr>
                <w:rFonts w:cs="Arial"/>
                <w:b/>
                <w:szCs w:val="22"/>
              </w:rPr>
              <w:t>Do you believe that CMP259</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0"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5A6B07" w:rsidRPr="00651F79" w:rsidRDefault="005A6B07" w:rsidP="00E62A86">
      <w:pPr>
        <w:rPr>
          <w:rFonts w:cs="Arial"/>
          <w:szCs w:val="22"/>
        </w:rPr>
      </w:pPr>
    </w:p>
    <w:p w:rsidR="00E62A86"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7043A3" w:rsidRPr="00D96B36">
        <w:rPr>
          <w:rFonts w:cs="Arial"/>
          <w:b/>
          <w:szCs w:val="22"/>
        </w:rPr>
        <w:t>P2</w:t>
      </w:r>
      <w:r w:rsidR="00737AF9">
        <w:rPr>
          <w:rFonts w:cs="Arial"/>
          <w:b/>
          <w:szCs w:val="22"/>
        </w:rPr>
        <w:t>5</w:t>
      </w:r>
      <w:r w:rsidR="009963D4">
        <w:rPr>
          <w:rFonts w:cs="Arial"/>
          <w:b/>
          <w:szCs w:val="22"/>
        </w:rPr>
        <w:t>4</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FA07C6">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057"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6336"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t>5</w:t>
            </w:r>
          </w:p>
        </w:tc>
        <w:tc>
          <w:tcPr>
            <w:tcW w:w="3057" w:type="dxa"/>
          </w:tcPr>
          <w:p w:rsidR="00E62A86" w:rsidRPr="006B60E2" w:rsidRDefault="00DD2F0C" w:rsidP="00057443">
            <w:pPr>
              <w:rPr>
                <w:rFonts w:cs="Arial"/>
                <w:b/>
                <w:bCs/>
                <w:szCs w:val="22"/>
              </w:rPr>
            </w:pPr>
            <w:r w:rsidRPr="00DD2F0C">
              <w:rPr>
                <w:rFonts w:cs="Arial"/>
                <w:b/>
                <w:bCs/>
                <w:szCs w:val="22"/>
              </w:rPr>
              <w:t>Do you believe that should CM259 be implemented there would be a subsequent greater reduction in TEC (MW) across the Transmission system than would have been the case without CMP259?</w:t>
            </w:r>
          </w:p>
        </w:tc>
        <w:tc>
          <w:tcPr>
            <w:tcW w:w="6336" w:type="dxa"/>
          </w:tcPr>
          <w:p w:rsidR="00E62A86" w:rsidRPr="00594962" w:rsidRDefault="00E62A86" w:rsidP="00E62A86">
            <w:pPr>
              <w:rPr>
                <w:rFonts w:cs="Arial"/>
                <w:szCs w:val="22"/>
              </w:rPr>
            </w:pP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lastRenderedPageBreak/>
              <w:t>6</w:t>
            </w:r>
          </w:p>
        </w:tc>
        <w:tc>
          <w:tcPr>
            <w:tcW w:w="3057" w:type="dxa"/>
          </w:tcPr>
          <w:p w:rsidR="009963D4" w:rsidRPr="00594962" w:rsidRDefault="00DD2F0C" w:rsidP="00BF1F85">
            <w:pPr>
              <w:rPr>
                <w:rFonts w:cs="Arial"/>
                <w:b/>
                <w:szCs w:val="22"/>
              </w:rPr>
            </w:pPr>
            <w:r w:rsidRPr="00DD2F0C">
              <w:rPr>
                <w:rFonts w:cs="Arial"/>
                <w:b/>
                <w:szCs w:val="22"/>
              </w:rPr>
              <w:t xml:space="preserve">If at least one year and five days’ notice of the (MW) TEC reduction has been given by the generator, then the </w:t>
            </w:r>
            <w:proofErr w:type="spellStart"/>
            <w:r w:rsidRPr="00DD2F0C">
              <w:rPr>
                <w:rFonts w:cs="Arial"/>
                <w:b/>
                <w:szCs w:val="22"/>
              </w:rPr>
              <w:t>TNUoS</w:t>
            </w:r>
            <w:proofErr w:type="spellEnd"/>
            <w:r w:rsidRPr="00DD2F0C">
              <w:rPr>
                <w:rFonts w:cs="Arial"/>
                <w:b/>
                <w:szCs w:val="22"/>
              </w:rPr>
              <w:t xml:space="preserve"> charges that would otherwise have been paid by the generator would be entirely funded via the remaining generators across the system paying an additional amount through an increase in the Generation Residual Tariff element, unless another generator utilises this capacity. Under CMP259, generators may pay this additional residual charge for capacity which may not actually be available for permanent reallocation because its return has been guaranteed to the generator making the modification application. What are your views about this?</w:t>
            </w:r>
          </w:p>
        </w:tc>
        <w:tc>
          <w:tcPr>
            <w:tcW w:w="6336" w:type="dxa"/>
          </w:tcPr>
          <w:p w:rsidR="00E62A86" w:rsidRPr="00594962" w:rsidRDefault="00E62A86" w:rsidP="00E62A86">
            <w:pPr>
              <w:rPr>
                <w:rFonts w:cs="Arial"/>
                <w:szCs w:val="22"/>
              </w:rPr>
            </w:pPr>
          </w:p>
        </w:tc>
      </w:tr>
      <w:tr w:rsidR="007043A3" w:rsidRPr="00651F79" w:rsidTr="009963D4">
        <w:trPr>
          <w:cantSplit/>
          <w:trHeight w:val="267"/>
        </w:trPr>
        <w:tc>
          <w:tcPr>
            <w:tcW w:w="567" w:type="dxa"/>
          </w:tcPr>
          <w:p w:rsidR="007043A3" w:rsidRDefault="00594962" w:rsidP="00E62A86">
            <w:pPr>
              <w:rPr>
                <w:rFonts w:cs="Arial"/>
                <w:szCs w:val="22"/>
              </w:rPr>
            </w:pPr>
            <w:r>
              <w:rPr>
                <w:rFonts w:cs="Arial"/>
                <w:szCs w:val="22"/>
              </w:rPr>
              <w:t>7</w:t>
            </w:r>
          </w:p>
        </w:tc>
        <w:tc>
          <w:tcPr>
            <w:tcW w:w="3057" w:type="dxa"/>
          </w:tcPr>
          <w:p w:rsidR="007043A3" w:rsidRPr="00594962" w:rsidRDefault="00DD2F0C" w:rsidP="00E62A86">
            <w:pPr>
              <w:rPr>
                <w:b/>
                <w:bCs/>
              </w:rPr>
            </w:pPr>
            <w:r w:rsidRPr="00DD2F0C">
              <w:rPr>
                <w:b/>
                <w:bCs/>
              </w:rPr>
              <w:t xml:space="preserve">Do you believe CMP259 would alter the signal provided to Generators through </w:t>
            </w:r>
            <w:proofErr w:type="spellStart"/>
            <w:r w:rsidRPr="00DD2F0C">
              <w:rPr>
                <w:b/>
                <w:bCs/>
              </w:rPr>
              <w:t>TNUoS</w:t>
            </w:r>
            <w:proofErr w:type="spellEnd"/>
            <w:r w:rsidRPr="00DD2F0C">
              <w:rPr>
                <w:b/>
                <w:bCs/>
              </w:rPr>
              <w:t xml:space="preserve"> charges?</w:t>
            </w:r>
          </w:p>
        </w:tc>
        <w:tc>
          <w:tcPr>
            <w:tcW w:w="6336" w:type="dxa"/>
          </w:tcPr>
          <w:p w:rsidR="007043A3" w:rsidRPr="00594962" w:rsidRDefault="007043A3" w:rsidP="00E62A86">
            <w:pPr>
              <w:rPr>
                <w:rFonts w:cs="Arial"/>
                <w:szCs w:val="22"/>
              </w:rPr>
            </w:pPr>
          </w:p>
        </w:tc>
      </w:tr>
      <w:tr w:rsidR="007043A3" w:rsidRPr="00651F79" w:rsidTr="009963D4">
        <w:trPr>
          <w:cantSplit/>
          <w:trHeight w:val="267"/>
        </w:trPr>
        <w:tc>
          <w:tcPr>
            <w:tcW w:w="567" w:type="dxa"/>
          </w:tcPr>
          <w:p w:rsidR="007043A3" w:rsidRDefault="00594962" w:rsidP="00E62A86">
            <w:pPr>
              <w:rPr>
                <w:rFonts w:cs="Arial"/>
                <w:szCs w:val="22"/>
              </w:rPr>
            </w:pPr>
            <w:r>
              <w:rPr>
                <w:rFonts w:cs="Arial"/>
                <w:szCs w:val="22"/>
              </w:rPr>
              <w:t>8</w:t>
            </w:r>
          </w:p>
        </w:tc>
        <w:tc>
          <w:tcPr>
            <w:tcW w:w="3057" w:type="dxa"/>
          </w:tcPr>
          <w:p w:rsidR="007043A3" w:rsidRPr="00594962" w:rsidRDefault="00DD2F0C" w:rsidP="00E62A86">
            <w:pPr>
              <w:rPr>
                <w:b/>
              </w:rPr>
            </w:pPr>
            <w:r w:rsidRPr="00DD2F0C">
              <w:rPr>
                <w:b/>
              </w:rPr>
              <w:t>Do you believe that the process for issuing Interactive offers would be affected by CMP259 and that this would require a change in the manner in which capacity can be allocated by TOs?</w:t>
            </w:r>
          </w:p>
        </w:tc>
        <w:tc>
          <w:tcPr>
            <w:tcW w:w="6336" w:type="dxa"/>
          </w:tcPr>
          <w:p w:rsidR="007043A3" w:rsidRPr="00594962" w:rsidRDefault="007043A3" w:rsidP="00E62A86">
            <w:pPr>
              <w:rPr>
                <w:rFonts w:cs="Arial"/>
                <w:szCs w:val="22"/>
              </w:rPr>
            </w:pPr>
          </w:p>
        </w:tc>
      </w:tr>
      <w:tr w:rsidR="007043A3" w:rsidRPr="00651F79" w:rsidTr="009963D4">
        <w:trPr>
          <w:cantSplit/>
          <w:trHeight w:val="267"/>
        </w:trPr>
        <w:tc>
          <w:tcPr>
            <w:tcW w:w="567" w:type="dxa"/>
          </w:tcPr>
          <w:p w:rsidR="007043A3" w:rsidRDefault="00594962" w:rsidP="00E62A86">
            <w:pPr>
              <w:rPr>
                <w:rFonts w:cs="Arial"/>
                <w:szCs w:val="22"/>
              </w:rPr>
            </w:pPr>
            <w:r>
              <w:rPr>
                <w:rFonts w:cs="Arial"/>
                <w:szCs w:val="22"/>
              </w:rPr>
              <w:lastRenderedPageBreak/>
              <w:t>9</w:t>
            </w:r>
          </w:p>
        </w:tc>
        <w:tc>
          <w:tcPr>
            <w:tcW w:w="3057" w:type="dxa"/>
          </w:tcPr>
          <w:p w:rsidR="007043A3" w:rsidRPr="00594962" w:rsidRDefault="00DD2F0C" w:rsidP="00E62A86">
            <w:pPr>
              <w:rPr>
                <w:b/>
              </w:rPr>
            </w:pPr>
            <w:r w:rsidRPr="00DD2F0C">
              <w:rPr>
                <w:b/>
              </w:rPr>
              <w:t>There are a number of scenarios outlined in Annex 4. What are your views about the impact of the proposals on these? Are there any additional scenarios that that the Workgroup should consider?</w:t>
            </w:r>
          </w:p>
        </w:tc>
        <w:tc>
          <w:tcPr>
            <w:tcW w:w="6336" w:type="dxa"/>
          </w:tcPr>
          <w:p w:rsidR="007043A3" w:rsidRPr="00594962" w:rsidRDefault="007043A3" w:rsidP="00E62A86">
            <w:pPr>
              <w:rPr>
                <w:rFonts w:cs="Arial"/>
                <w:szCs w:val="22"/>
              </w:rPr>
            </w:pPr>
          </w:p>
        </w:tc>
      </w:tr>
      <w:tr w:rsidR="00594962" w:rsidRPr="00651F79" w:rsidTr="009963D4">
        <w:trPr>
          <w:cantSplit/>
          <w:trHeight w:val="267"/>
        </w:trPr>
        <w:tc>
          <w:tcPr>
            <w:tcW w:w="567" w:type="dxa"/>
          </w:tcPr>
          <w:p w:rsidR="00594962" w:rsidRDefault="00594962" w:rsidP="00E62A86">
            <w:pPr>
              <w:rPr>
                <w:rFonts w:cs="Arial"/>
                <w:szCs w:val="22"/>
              </w:rPr>
            </w:pPr>
            <w:r>
              <w:rPr>
                <w:rFonts w:cs="Arial"/>
                <w:szCs w:val="22"/>
              </w:rPr>
              <w:t>10</w:t>
            </w:r>
          </w:p>
        </w:tc>
        <w:tc>
          <w:tcPr>
            <w:tcW w:w="3057" w:type="dxa"/>
          </w:tcPr>
          <w:p w:rsidR="00594962" w:rsidRDefault="00DD2F0C" w:rsidP="00E62A86">
            <w:pPr>
              <w:rPr>
                <w:b/>
              </w:rPr>
            </w:pPr>
            <w:r w:rsidRPr="00DD2F0C">
              <w:rPr>
                <w:b/>
              </w:rPr>
              <w:t>Do you agree that should a generator reduce its TEC (MW) level to 0 in any charging year that the generic figure should be used to calculate their ALF level?</w:t>
            </w:r>
          </w:p>
        </w:tc>
        <w:tc>
          <w:tcPr>
            <w:tcW w:w="6336" w:type="dxa"/>
          </w:tcPr>
          <w:p w:rsidR="00594962" w:rsidRPr="00594962" w:rsidRDefault="00594962" w:rsidP="009963D4">
            <w:pPr>
              <w:rPr>
                <w:rFonts w:cs="Arial"/>
                <w:szCs w:val="22"/>
              </w:rPr>
            </w:pPr>
          </w:p>
        </w:tc>
      </w:tr>
      <w:tr w:rsidR="00594962" w:rsidRPr="00651F79" w:rsidTr="009963D4">
        <w:trPr>
          <w:cantSplit/>
          <w:trHeight w:val="267"/>
        </w:trPr>
        <w:tc>
          <w:tcPr>
            <w:tcW w:w="567" w:type="dxa"/>
          </w:tcPr>
          <w:p w:rsidR="00594962" w:rsidRDefault="00594962" w:rsidP="00E62A86">
            <w:pPr>
              <w:rPr>
                <w:rFonts w:cs="Arial"/>
                <w:szCs w:val="22"/>
              </w:rPr>
            </w:pPr>
            <w:r>
              <w:rPr>
                <w:rFonts w:cs="Arial"/>
                <w:szCs w:val="22"/>
              </w:rPr>
              <w:t>11</w:t>
            </w:r>
          </w:p>
        </w:tc>
        <w:tc>
          <w:tcPr>
            <w:tcW w:w="3057" w:type="dxa"/>
          </w:tcPr>
          <w:p w:rsidR="00594962" w:rsidRDefault="00DD2F0C" w:rsidP="00E62A86">
            <w:pPr>
              <w:rPr>
                <w:b/>
              </w:rPr>
            </w:pPr>
            <w:r w:rsidRPr="00DD2F0C">
              <w:rPr>
                <w:b/>
              </w:rPr>
              <w:t>In your opinion, what are the potential benefits of CMP259? Could you provide evidence of these benefits?</w:t>
            </w:r>
          </w:p>
        </w:tc>
        <w:tc>
          <w:tcPr>
            <w:tcW w:w="6336" w:type="dxa"/>
          </w:tcPr>
          <w:p w:rsidR="00594962" w:rsidRPr="00594962" w:rsidRDefault="00594962" w:rsidP="00E62A86">
            <w:pPr>
              <w:rPr>
                <w:rFonts w:cs="Arial"/>
                <w:szCs w:val="22"/>
              </w:rPr>
            </w:pPr>
          </w:p>
        </w:tc>
      </w:tr>
      <w:tr w:rsidR="00711FF7" w:rsidRPr="00651F79" w:rsidTr="009963D4">
        <w:trPr>
          <w:cantSplit/>
          <w:trHeight w:val="267"/>
        </w:trPr>
        <w:tc>
          <w:tcPr>
            <w:tcW w:w="567" w:type="dxa"/>
          </w:tcPr>
          <w:p w:rsidR="00711FF7" w:rsidRDefault="00711FF7" w:rsidP="00E62A86">
            <w:pPr>
              <w:rPr>
                <w:rFonts w:cs="Arial"/>
                <w:szCs w:val="22"/>
              </w:rPr>
            </w:pPr>
            <w:r>
              <w:rPr>
                <w:rFonts w:cs="Arial"/>
                <w:szCs w:val="22"/>
              </w:rPr>
              <w:t>12</w:t>
            </w:r>
          </w:p>
        </w:tc>
        <w:tc>
          <w:tcPr>
            <w:tcW w:w="3057" w:type="dxa"/>
          </w:tcPr>
          <w:p w:rsidR="00711FF7" w:rsidRDefault="00DD2F0C" w:rsidP="00E62A86">
            <w:pPr>
              <w:rPr>
                <w:b/>
              </w:rPr>
            </w:pPr>
            <w:r w:rsidRPr="00DD2F0C">
              <w:rPr>
                <w:b/>
              </w:rPr>
              <w:t>Do you believe that CMP259 will facilitate a more efficient utilisation of the transmission system?</w:t>
            </w:r>
          </w:p>
        </w:tc>
        <w:tc>
          <w:tcPr>
            <w:tcW w:w="6336" w:type="dxa"/>
          </w:tcPr>
          <w:p w:rsidR="00711FF7" w:rsidRPr="00594962" w:rsidRDefault="00711FF7" w:rsidP="00E62A86">
            <w:pPr>
              <w:rPr>
                <w:rFonts w:cs="Arial"/>
                <w:szCs w:val="22"/>
              </w:rPr>
            </w:pPr>
          </w:p>
        </w:tc>
      </w:tr>
    </w:tbl>
    <w:p w:rsidR="007F68E5" w:rsidRDefault="007F68E5">
      <w:bookmarkStart w:id="1" w:name="_GoBack"/>
      <w:bookmarkEnd w:id="1"/>
    </w:p>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 w:id="1">
    <w:p w:rsidR="00C15869" w:rsidRPr="002368F6" w:rsidRDefault="00C15869"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3010B"/>
    <w:rsid w:val="009358EB"/>
    <w:rsid w:val="00957999"/>
    <w:rsid w:val="009646AD"/>
    <w:rsid w:val="0097582C"/>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Christine.brown1@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4297</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2015-11-26T14:15:00Z</cp:lastPrinted>
  <dcterms:created xsi:type="dcterms:W3CDTF">2016-04-03T22:42:00Z</dcterms:created>
  <dcterms:modified xsi:type="dcterms:W3CDTF">2016-04-03T22:42:00Z</dcterms:modified>
</cp:coreProperties>
</file>