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A66116">
        <w:t xml:space="preserve"> Consultation Response </w:t>
      </w:r>
      <w:proofErr w:type="spellStart"/>
      <w:r w:rsidR="00A66116"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9D7B1B" w:rsidRDefault="00C01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</w:t>
      </w:r>
      <w:r w:rsidR="009D7B1B">
        <w:rPr>
          <w:rFonts w:ascii="Arial" w:hAnsi="Arial" w:cs="Arial"/>
          <w:b/>
        </w:rPr>
        <w:t xml:space="preserve">47 </w:t>
      </w:r>
      <w:r w:rsidR="009D7B1B" w:rsidRPr="009D7B1B">
        <w:rPr>
          <w:rFonts w:ascii="Arial" w:hAnsi="Arial" w:cs="Arial"/>
          <w:b/>
        </w:rPr>
        <w:t>‘</w:t>
      </w:r>
      <w:proofErr w:type="spellStart"/>
      <w:r w:rsidR="009D7B1B" w:rsidRPr="009D7B1B">
        <w:rPr>
          <w:rFonts w:ascii="Arial" w:hAnsi="Arial" w:cs="Arial"/>
          <w:b/>
        </w:rPr>
        <w:t>TNUoS</w:t>
      </w:r>
      <w:proofErr w:type="spellEnd"/>
      <w:r w:rsidR="009D7B1B" w:rsidRPr="009D7B1B">
        <w:rPr>
          <w:rFonts w:ascii="Arial" w:hAnsi="Arial" w:cs="Arial"/>
          <w:b/>
        </w:rPr>
        <w:t xml:space="preserve"> Demand Charges during the implementation of BSC Modification P272 following the approval of BSC Alternative Modification P322’</w:t>
      </w:r>
      <w:r w:rsidR="00B87129">
        <w:rPr>
          <w:rFonts w:ascii="Arial" w:hAnsi="Arial" w:cs="Arial"/>
          <w:b/>
        </w:rPr>
        <w:t xml:space="preserve"> 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  <w:bookmarkStart w:id="1" w:name="_GoBack"/>
      <w:bookmarkEnd w:id="1"/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9D7B1B">
        <w:rPr>
          <w:rFonts w:ascii="Arial" w:hAnsi="Arial" w:cs="Arial"/>
          <w:b/>
        </w:rPr>
        <w:t>8</w:t>
      </w:r>
      <w:r w:rsidR="009D7B1B" w:rsidRPr="009D7B1B">
        <w:rPr>
          <w:rFonts w:ascii="Arial" w:hAnsi="Arial" w:cs="Arial"/>
          <w:b/>
          <w:vertAlign w:val="superscript"/>
        </w:rPr>
        <w:t>th</w:t>
      </w:r>
      <w:r w:rsidR="009D7B1B">
        <w:rPr>
          <w:rFonts w:ascii="Arial" w:hAnsi="Arial" w:cs="Arial"/>
          <w:b/>
        </w:rPr>
        <w:t xml:space="preserve"> September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FF750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 w:rsidRPr="00FF7506">
              <w:t xml:space="preserve">That compliance with the use of system charging methodology facilitates effective competition in the generation and supply of electricity and (so far as is consistent </w:t>
            </w:r>
            <w:r w:rsidRPr="00FF7506">
              <w:tab/>
              <w:t xml:space="preserve"> </w:t>
            </w:r>
            <w:r w:rsidRPr="00FF7506">
              <w:rPr>
                <w:rFonts w:cs="Arial"/>
                <w:szCs w:val="22"/>
              </w:rPr>
              <w:t xml:space="preserve">therewith) facilitates competition in the sale, distribution and purchase of electricity; </w:t>
            </w:r>
            <w:r w:rsidRPr="00FF7506">
              <w:rPr>
                <w:rFonts w:cs="Arial"/>
                <w:szCs w:val="22"/>
              </w:rPr>
              <w:tab/>
              <w:t xml:space="preserve"> </w:t>
            </w:r>
          </w:p>
          <w:p w:rsid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 w:rsidRPr="00FF7506">
              <w:t>That compliance with the use of system charging methodology results in charges which reflect, as far as is reasonably practicable, the costs (excluding any payments betwee</w:t>
            </w:r>
            <w:r>
              <w:t xml:space="preserve">n transmission licensees which are </w:t>
            </w:r>
            <w:r w:rsidRPr="00FF7506">
              <w:t>made under and accordance with the STC) incurred by transmission licensees in their transmission businesses and which</w:t>
            </w:r>
            <w:r>
              <w:t xml:space="preserve"> </w:t>
            </w:r>
            <w:r w:rsidRPr="00FF7506">
              <w:rPr>
                <w:rFonts w:cs="Arial"/>
                <w:szCs w:val="22"/>
              </w:rPr>
              <w:t xml:space="preserve">are compatible with standard licence condition C26 </w:t>
            </w:r>
            <w:r>
              <w:rPr>
                <w:rFonts w:cs="Arial"/>
                <w:szCs w:val="22"/>
              </w:rPr>
              <w:t xml:space="preserve">(requirements of a connect and </w:t>
            </w:r>
            <w:r w:rsidRPr="00FF7506">
              <w:rPr>
                <w:rFonts w:cs="Arial"/>
                <w:szCs w:val="22"/>
              </w:rPr>
              <w:t xml:space="preserve">manage connection); </w:t>
            </w:r>
          </w:p>
          <w:p w:rsidR="00FF750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That, so far as </w:t>
            </w:r>
            <w:r w:rsidRPr="00FF7506">
              <w:rPr>
                <w:rFonts w:cs="Arial"/>
                <w:szCs w:val="22"/>
              </w:rPr>
              <w:t xml:space="preserve">is consistent with </w:t>
            </w:r>
            <w:r>
              <w:rPr>
                <w:rFonts w:cs="Arial"/>
                <w:szCs w:val="22"/>
              </w:rPr>
              <w:t>sub-paragraphs (a) and</w:t>
            </w:r>
            <w:r w:rsidR="0046069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(b), the use </w:t>
            </w:r>
            <w:r w:rsidRPr="00FF7506">
              <w:rPr>
                <w:rFonts w:cs="Arial"/>
                <w:szCs w:val="22"/>
              </w:rPr>
              <w:t>of system charging methodology, as far as is reasonably practicable, properly takes account of</w:t>
            </w:r>
            <w:r w:rsidRPr="00FF7506">
              <w:rPr>
                <w:rFonts w:cs="Arial"/>
                <w:szCs w:val="22"/>
              </w:rPr>
              <w:tab/>
              <w:t>the developments in transmission licensees’ transmission businesses; and</w:t>
            </w:r>
          </w:p>
          <w:p w:rsidR="00A6611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proofErr w:type="gramStart"/>
            <w:r w:rsidRPr="00FF7506">
              <w:rPr>
                <w:rFonts w:cs="Arial"/>
                <w:szCs w:val="22"/>
              </w:rPr>
              <w:t xml:space="preserve">Compliance with the Electricity Regulation and any </w:t>
            </w:r>
            <w:r w:rsidRPr="00FF7506">
              <w:rPr>
                <w:rFonts w:cs="Arial"/>
                <w:szCs w:val="22"/>
              </w:rPr>
              <w:lastRenderedPageBreak/>
              <w:t>relev</w:t>
            </w:r>
            <w:r>
              <w:rPr>
                <w:rFonts w:cs="Arial"/>
                <w:szCs w:val="22"/>
              </w:rPr>
              <w:t>a</w:t>
            </w:r>
            <w:r w:rsidR="0046069C">
              <w:rPr>
                <w:rFonts w:cs="Arial"/>
                <w:szCs w:val="22"/>
              </w:rPr>
              <w:t xml:space="preserve">nt legally binding decision </w:t>
            </w:r>
            <w:r w:rsidR="0046069C">
              <w:rPr>
                <w:rFonts w:cs="Arial"/>
                <w:szCs w:val="22"/>
              </w:rPr>
              <w:tab/>
              <w:t xml:space="preserve">of </w:t>
            </w:r>
            <w:r>
              <w:rPr>
                <w:rFonts w:cs="Arial"/>
                <w:szCs w:val="22"/>
              </w:rPr>
              <w:t xml:space="preserve">the </w:t>
            </w:r>
            <w:r w:rsidRPr="00FF7506">
              <w:rPr>
                <w:rFonts w:cs="Arial"/>
                <w:szCs w:val="22"/>
              </w:rPr>
              <w:t>European Commission and/or the Agency.</w:t>
            </w:r>
            <w:proofErr w:type="gramEnd"/>
            <w:r w:rsidRPr="00FF7506">
              <w:rPr>
                <w:rFonts w:cs="Arial"/>
                <w:szCs w:val="22"/>
              </w:rPr>
              <w:t xml:space="preserve"> </w:t>
            </w:r>
            <w:r w:rsidRPr="00FF7506">
              <w:rPr>
                <w:rFonts w:cs="Arial"/>
                <w:szCs w:val="22"/>
              </w:rPr>
              <w:tab/>
            </w:r>
          </w:p>
        </w:tc>
      </w:tr>
    </w:tbl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9D7B1B">
              <w:rPr>
                <w:rFonts w:ascii="Arial" w:hAnsi="Arial" w:cs="Arial"/>
                <w:b/>
              </w:rPr>
              <w:t>4</w:t>
            </w:r>
            <w:r w:rsidR="00B87129">
              <w:rPr>
                <w:rFonts w:ascii="Arial" w:hAnsi="Arial" w:cs="Arial"/>
                <w:b/>
              </w:rPr>
              <w:t>7</w:t>
            </w:r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9D7B1B" w:rsidTr="00A112A9">
        <w:trPr>
          <w:trHeight w:val="264"/>
        </w:trPr>
        <w:tc>
          <w:tcPr>
            <w:tcW w:w="763" w:type="dxa"/>
          </w:tcPr>
          <w:p w:rsidR="009D7B1B" w:rsidRPr="00A112A9" w:rsidRDefault="009D7B1B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9D7B1B" w:rsidRPr="00A112A9" w:rsidRDefault="009D7B1B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believe there are any unintended consequences arising from CMP247?</w:t>
            </w:r>
          </w:p>
        </w:tc>
        <w:tc>
          <w:tcPr>
            <w:tcW w:w="5981" w:type="dxa"/>
          </w:tcPr>
          <w:p w:rsidR="009D7B1B" w:rsidRDefault="009D7B1B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9D7B1B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46069C"/>
    <w:rsid w:val="005C5FF8"/>
    <w:rsid w:val="00666316"/>
    <w:rsid w:val="006E10A6"/>
    <w:rsid w:val="00716840"/>
    <w:rsid w:val="00721068"/>
    <w:rsid w:val="00857A30"/>
    <w:rsid w:val="009D7B1B"/>
    <w:rsid w:val="00A112A9"/>
    <w:rsid w:val="00A42ECE"/>
    <w:rsid w:val="00A50AD4"/>
    <w:rsid w:val="00A66116"/>
    <w:rsid w:val="00B87129"/>
    <w:rsid w:val="00C01712"/>
    <w:rsid w:val="00DC3384"/>
    <w:rsid w:val="00E05E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National Grid</cp:lastModifiedBy>
  <cp:revision>2</cp:revision>
  <dcterms:created xsi:type="dcterms:W3CDTF">2015-08-10T12:57:00Z</dcterms:created>
  <dcterms:modified xsi:type="dcterms:W3CDTF">2015-08-10T12:57:00Z</dcterms:modified>
</cp:coreProperties>
</file>