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</w:t>
            </w:r>
            <w:proofErr w:type="gramStart"/>
            <w:r w:rsidR="00175B87">
              <w:rPr>
                <w:rFonts w:cs="Arial"/>
                <w:b/>
                <w:sz w:val="28"/>
                <w:szCs w:val="28"/>
              </w:rPr>
              <w:t>Non Charging</w:t>
            </w:r>
            <w:proofErr w:type="gramEnd"/>
            <w:r w:rsidR="00175B87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3AEA4A45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9A54D0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B36B47">
              <w:rPr>
                <w:rFonts w:cs="Arial"/>
                <w:b/>
                <w:color w:val="F26522" w:themeColor="accent1"/>
                <w:sz w:val="56"/>
                <w:szCs w:val="56"/>
              </w:rPr>
              <w:t>9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4C6380EB" w14:textId="77777777" w:rsidR="00DB447A" w:rsidRDefault="00D44E46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</w:p>
          <w:p w14:paraId="0F5CE306" w14:textId="6E1D2175" w:rsidR="004D1D8B" w:rsidRDefault="00A5435A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Although the recent Request for Information (RFI) on the state of projects in the connection queue is self-certified, it </w:t>
            </w:r>
            <w:r w:rsidR="004D1D8B">
              <w:rPr>
                <w:rFonts w:cs="Arial"/>
                <w:sz w:val="24"/>
              </w:rPr>
              <w:t>indicated a significant number of projects that can, or will be able to meet the proposed Gate 2 criteria by the proposed deadline.</w:t>
            </w:r>
          </w:p>
          <w:p w14:paraId="142F5CBD" w14:textId="77777777" w:rsidR="004D1D8B" w:rsidRDefault="004D1D8B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0457561F" w14:textId="0EC062F9" w:rsidR="004D1D8B" w:rsidRDefault="004D1D8B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However, the capacity of viable projects of some technologies far exceeds the most optimistic need case, as described in the latest </w:t>
            </w:r>
            <w:r w:rsidR="007F38BA">
              <w:rPr>
                <w:rFonts w:cs="Arial"/>
                <w:sz w:val="24"/>
              </w:rPr>
              <w:t>Future Energy Scenarios (</w:t>
            </w:r>
            <w:r>
              <w:rPr>
                <w:rFonts w:cs="Arial"/>
                <w:sz w:val="24"/>
              </w:rPr>
              <w:t>FE</w:t>
            </w:r>
            <w:r w:rsidR="007F38BA">
              <w:rPr>
                <w:rFonts w:cs="Arial"/>
                <w:sz w:val="24"/>
              </w:rPr>
              <w:t>S)</w:t>
            </w:r>
            <w:r>
              <w:rPr>
                <w:rFonts w:cs="Arial"/>
                <w:sz w:val="24"/>
              </w:rPr>
              <w:t xml:space="preserve"> publication. It is our </w:t>
            </w:r>
            <w:r w:rsidR="00341191">
              <w:rPr>
                <w:rFonts w:cs="Arial"/>
                <w:sz w:val="24"/>
              </w:rPr>
              <w:t>belief</w:t>
            </w:r>
            <w:r>
              <w:rPr>
                <w:rFonts w:cs="Arial"/>
                <w:sz w:val="24"/>
              </w:rPr>
              <w:t xml:space="preserve"> that the reason that so many projects remain in the queue, despite this obvious supply/demand imbalance, is that developers cannot determine where they </w:t>
            </w:r>
            <w:r w:rsidR="007064FC">
              <w:rPr>
                <w:rFonts w:cs="Arial"/>
                <w:sz w:val="24"/>
              </w:rPr>
              <w:t>truly</w:t>
            </w:r>
            <w:r>
              <w:rPr>
                <w:rFonts w:cs="Arial"/>
                <w:sz w:val="24"/>
              </w:rPr>
              <w:t xml:space="preserve"> sit in the queue relative to competitors</w:t>
            </w:r>
            <w:r w:rsidR="007064FC">
              <w:rPr>
                <w:rFonts w:cs="Arial"/>
                <w:sz w:val="24"/>
              </w:rPr>
              <w:t>;</w:t>
            </w:r>
            <w:r>
              <w:rPr>
                <w:rFonts w:cs="Arial"/>
                <w:sz w:val="24"/>
              </w:rPr>
              <w:t xml:space="preserve"> and whether by the time their project is commissioned</w:t>
            </w:r>
            <w:r w:rsidR="00CF7801">
              <w:rPr>
                <w:rFonts w:cs="Arial"/>
                <w:sz w:val="24"/>
              </w:rPr>
              <w:t>,</w:t>
            </w:r>
            <w:r>
              <w:rPr>
                <w:rFonts w:cs="Arial"/>
                <w:sz w:val="24"/>
              </w:rPr>
              <w:t xml:space="preserve"> the market will already be saturated</w:t>
            </w:r>
            <w:r w:rsidR="00CF7801">
              <w:rPr>
                <w:rFonts w:cs="Arial"/>
                <w:sz w:val="24"/>
              </w:rPr>
              <w:t>,</w:t>
            </w:r>
            <w:r>
              <w:rPr>
                <w:rFonts w:cs="Arial"/>
                <w:sz w:val="24"/>
              </w:rPr>
              <w:t xml:space="preserve"> and so the likely returns that such a project could generate would make it non-viable.</w:t>
            </w:r>
          </w:p>
          <w:p w14:paraId="418AEACC" w14:textId="77777777" w:rsidR="000406A1" w:rsidRDefault="000406A1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1C895A98" w14:textId="61596CF5" w:rsidR="004D1D8B" w:rsidRDefault="004D1D8B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If the market had greater visibility </w:t>
            </w:r>
            <w:r w:rsidR="00CF7801">
              <w:rPr>
                <w:rFonts w:cs="Arial"/>
                <w:sz w:val="24"/>
              </w:rPr>
              <w:t xml:space="preserve">into </w:t>
            </w:r>
            <w:r>
              <w:rPr>
                <w:rFonts w:cs="Arial"/>
                <w:sz w:val="24"/>
              </w:rPr>
              <w:t xml:space="preserve">the state of competitor </w:t>
            </w:r>
            <w:r w:rsidR="000406A1">
              <w:rPr>
                <w:rFonts w:cs="Arial"/>
                <w:sz w:val="24"/>
              </w:rPr>
              <w:t>projects,</w:t>
            </w:r>
            <w:r>
              <w:rPr>
                <w:rFonts w:cs="Arial"/>
                <w:sz w:val="24"/>
              </w:rPr>
              <w:t xml:space="preserve"> we believe market fundamentals would lead to considerable self</w:t>
            </w:r>
            <w:r w:rsidR="004B52BF">
              <w:rPr>
                <w:rFonts w:cs="Arial"/>
                <w:sz w:val="24"/>
              </w:rPr>
              <w:t>-r</w:t>
            </w:r>
            <w:r>
              <w:rPr>
                <w:rFonts w:cs="Arial"/>
                <w:sz w:val="24"/>
              </w:rPr>
              <w:t>egulation of the queue and man</w:t>
            </w:r>
            <w:r w:rsidR="004B52BF">
              <w:rPr>
                <w:rFonts w:cs="Arial"/>
                <w:sz w:val="24"/>
              </w:rPr>
              <w:t>y</w:t>
            </w:r>
            <w:r>
              <w:rPr>
                <w:rFonts w:cs="Arial"/>
                <w:sz w:val="24"/>
              </w:rPr>
              <w:t xml:space="preserve"> projects would</w:t>
            </w:r>
            <w:r w:rsidR="00F7367D">
              <w:rPr>
                <w:rFonts w:cs="Arial"/>
                <w:sz w:val="24"/>
              </w:rPr>
              <w:t xml:space="preserve"> be</w:t>
            </w:r>
            <w:r>
              <w:rPr>
                <w:rFonts w:cs="Arial"/>
                <w:sz w:val="24"/>
              </w:rPr>
              <w:t xml:space="preserve"> </w:t>
            </w:r>
            <w:r w:rsidR="004B52BF">
              <w:rPr>
                <w:rFonts w:cs="Arial"/>
                <w:sz w:val="24"/>
              </w:rPr>
              <w:t>unilaterally</w:t>
            </w:r>
            <w:r>
              <w:rPr>
                <w:rFonts w:cs="Arial"/>
                <w:sz w:val="24"/>
              </w:rPr>
              <w:t xml:space="preserve"> cancelled</w:t>
            </w:r>
            <w:r w:rsidR="004B52BF">
              <w:rPr>
                <w:rFonts w:cs="Arial"/>
                <w:sz w:val="24"/>
              </w:rPr>
              <w:t>/withdrawn.</w:t>
            </w:r>
          </w:p>
          <w:p w14:paraId="63012282" w14:textId="28BB4A75" w:rsidR="004B52BF" w:rsidRDefault="004B52B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6D592168" w14:textId="0D872848" w:rsidR="004B52BF" w:rsidRDefault="004B52B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This would have the benefit of allowing the TO/ESO to make investment decisions</w:t>
            </w:r>
            <w:r w:rsidR="001D4D6D">
              <w:rPr>
                <w:rFonts w:cs="Arial"/>
                <w:sz w:val="24"/>
              </w:rPr>
              <w:t xml:space="preserve"> based</w:t>
            </w:r>
            <w:r>
              <w:rPr>
                <w:rFonts w:cs="Arial"/>
                <w:sz w:val="24"/>
              </w:rPr>
              <w:t xml:space="preserve"> on a more credible generation background and market fundamentals </w:t>
            </w:r>
            <w:r w:rsidR="009807BF">
              <w:rPr>
                <w:rFonts w:cs="Arial"/>
                <w:sz w:val="24"/>
              </w:rPr>
              <w:t>would</w:t>
            </w:r>
            <w:r>
              <w:rPr>
                <w:rFonts w:cs="Arial"/>
                <w:sz w:val="24"/>
              </w:rPr>
              <w:t xml:space="preserve"> determine the most efficient</w:t>
            </w:r>
            <w:r w:rsidR="001D4D6D">
              <w:rPr>
                <w:rFonts w:cs="Arial"/>
                <w:sz w:val="24"/>
              </w:rPr>
              <w:t xml:space="preserve"> and</w:t>
            </w:r>
            <w:r>
              <w:rPr>
                <w:rFonts w:cs="Arial"/>
                <w:sz w:val="24"/>
              </w:rPr>
              <w:t xml:space="preserve"> economic projects to progress.</w:t>
            </w:r>
          </w:p>
          <w:p w14:paraId="3EFFD0C7" w14:textId="7BB788AB" w:rsidR="004D1D8B" w:rsidRPr="00A02D8E" w:rsidRDefault="004D1D8B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77045180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004D1D8B">
              <w:rPr>
                <w:rFonts w:cs="Arial"/>
                <w:sz w:val="24"/>
              </w:rPr>
              <w:t xml:space="preserve">Rob Smith, ENSO Energy 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5AE302DE" w:rsidR="00A471BF" w:rsidRPr="00DB45A9" w:rsidRDefault="00494C92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458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3E4EBEA8" w14:textId="1770F38D" w:rsidR="000406A1" w:rsidRPr="000406A1" w:rsidRDefault="000406A1" w:rsidP="000406A1">
      <w:pPr>
        <w:spacing w:before="0" w:after="0" w:line="360" w:lineRule="atLeast"/>
        <w:ind w:left="288"/>
        <w:rPr>
          <w:rFonts w:cs="Arial"/>
          <w:sz w:val="24"/>
        </w:rPr>
      </w:pPr>
      <w:r>
        <w:rPr>
          <w:rFonts w:cs="Arial"/>
          <w:sz w:val="24"/>
        </w:rPr>
        <w:t>W</w:t>
      </w:r>
      <w:r w:rsidRPr="000406A1">
        <w:rPr>
          <w:rFonts w:cs="Arial"/>
          <w:sz w:val="24"/>
        </w:rPr>
        <w:t>e propose that (as per diagram)</w:t>
      </w:r>
    </w:p>
    <w:p w14:paraId="6DF51B67" w14:textId="3FED44F4" w:rsidR="000406A1" w:rsidRPr="000406A1" w:rsidRDefault="000406A1" w:rsidP="000406A1">
      <w:pPr>
        <w:spacing w:before="0" w:after="0" w:line="360" w:lineRule="atLeast"/>
        <w:ind w:left="288"/>
        <w:rPr>
          <w:rFonts w:cs="Arial"/>
          <w:sz w:val="24"/>
        </w:rPr>
      </w:pPr>
      <w:r w:rsidRPr="000406A1">
        <w:rPr>
          <w:rFonts w:cs="Arial"/>
          <w:sz w:val="24"/>
        </w:rPr>
        <w:t> </w:t>
      </w:r>
      <w:r w:rsidR="001B29CF">
        <w:rPr>
          <w:noProof/>
        </w:rPr>
        <w:drawing>
          <wp:inline distT="0" distB="0" distL="0" distR="0" wp14:anchorId="0C7B1F4F" wp14:editId="0ECB89F5">
            <wp:extent cx="6029960" cy="3289300"/>
            <wp:effectExtent l="0" t="0" r="8890" b="6350"/>
            <wp:docPr id="421355484" name="Picture 1" descr="A diagram of a proc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355484" name="Picture 1" descr="A diagram of a proces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93F97" w14:textId="5863B452" w:rsidR="000406A1" w:rsidRPr="000406A1" w:rsidRDefault="000406A1" w:rsidP="000406A1">
      <w:pPr>
        <w:numPr>
          <w:ilvl w:val="0"/>
          <w:numId w:val="47"/>
        </w:numPr>
        <w:spacing w:before="0" w:after="0" w:line="360" w:lineRule="atLeast"/>
        <w:textAlignment w:val="center"/>
        <w:rPr>
          <w:rFonts w:ascii="Calibri" w:hAnsi="Calibri" w:cs="Calibri"/>
          <w:sz w:val="22"/>
          <w:szCs w:val="22"/>
        </w:rPr>
      </w:pPr>
      <w:r w:rsidRPr="000406A1">
        <w:rPr>
          <w:rFonts w:cs="Arial"/>
          <w:sz w:val="24"/>
        </w:rPr>
        <w:t xml:space="preserve">That the results of the Gate 2 compliance check should be published  – including any revised </w:t>
      </w:r>
      <w:r w:rsidR="00D67909">
        <w:rPr>
          <w:rFonts w:cs="Arial"/>
          <w:sz w:val="24"/>
        </w:rPr>
        <w:t>Transmission Entry Capacity (</w:t>
      </w:r>
      <w:r w:rsidRPr="000406A1">
        <w:rPr>
          <w:rFonts w:cs="Arial"/>
          <w:sz w:val="24"/>
        </w:rPr>
        <w:t>TEC</w:t>
      </w:r>
      <w:r w:rsidR="00D67909">
        <w:rPr>
          <w:rFonts w:cs="Arial"/>
          <w:sz w:val="24"/>
        </w:rPr>
        <w:t>)</w:t>
      </w:r>
      <w:r w:rsidRPr="000406A1">
        <w:rPr>
          <w:rFonts w:cs="Arial"/>
          <w:sz w:val="24"/>
        </w:rPr>
        <w:t xml:space="preserve"> or technology change </w:t>
      </w:r>
      <w:proofErr w:type="gramStart"/>
      <w:r w:rsidRPr="000406A1">
        <w:rPr>
          <w:rFonts w:cs="Arial"/>
          <w:sz w:val="24"/>
        </w:rPr>
        <w:t>requests</w:t>
      </w:r>
      <w:proofErr w:type="gramEnd"/>
    </w:p>
    <w:p w14:paraId="1C7989C1" w14:textId="4DC2D62E" w:rsidR="000406A1" w:rsidRPr="000406A1" w:rsidRDefault="000406A1" w:rsidP="000406A1">
      <w:pPr>
        <w:numPr>
          <w:ilvl w:val="0"/>
          <w:numId w:val="47"/>
        </w:numPr>
        <w:spacing w:before="0" w:after="0" w:line="360" w:lineRule="atLeast"/>
        <w:textAlignment w:val="center"/>
        <w:rPr>
          <w:rFonts w:ascii="Calibri" w:hAnsi="Calibri" w:cs="Calibri"/>
          <w:sz w:val="22"/>
          <w:szCs w:val="22"/>
        </w:rPr>
      </w:pPr>
      <w:r w:rsidRPr="000406A1">
        <w:rPr>
          <w:rFonts w:cs="Arial"/>
          <w:sz w:val="24"/>
        </w:rPr>
        <w:t xml:space="preserve">A </w:t>
      </w:r>
      <w:proofErr w:type="gramStart"/>
      <w:r w:rsidRPr="000406A1">
        <w:rPr>
          <w:rFonts w:cs="Arial"/>
          <w:sz w:val="24"/>
        </w:rPr>
        <w:t>2</w:t>
      </w:r>
      <w:r w:rsidR="0020753B">
        <w:rPr>
          <w:rFonts w:cs="Arial"/>
          <w:sz w:val="24"/>
        </w:rPr>
        <w:t>-</w:t>
      </w:r>
      <w:r w:rsidRPr="000406A1">
        <w:rPr>
          <w:rFonts w:cs="Arial"/>
          <w:sz w:val="24"/>
        </w:rPr>
        <w:t>4 week</w:t>
      </w:r>
      <w:proofErr w:type="gramEnd"/>
      <w:r w:rsidRPr="000406A1">
        <w:rPr>
          <w:rFonts w:cs="Arial"/>
          <w:sz w:val="24"/>
        </w:rPr>
        <w:t xml:space="preserve"> pause should be implemented for Gate 2 qualified applicants to assess the viability of their projects in light of updated competitor info</w:t>
      </w:r>
      <w:r w:rsidR="0020753B">
        <w:rPr>
          <w:rFonts w:cs="Arial"/>
          <w:sz w:val="24"/>
        </w:rPr>
        <w:t>rmation</w:t>
      </w:r>
      <w:r w:rsidRPr="000406A1">
        <w:rPr>
          <w:rFonts w:cs="Arial"/>
          <w:sz w:val="24"/>
        </w:rPr>
        <w:t xml:space="preserve">, </w:t>
      </w:r>
      <w:r w:rsidR="007B0918">
        <w:rPr>
          <w:rFonts w:cs="Arial"/>
          <w:sz w:val="24"/>
        </w:rPr>
        <w:t>To understand</w:t>
      </w:r>
      <w:r w:rsidRPr="000406A1">
        <w:rPr>
          <w:rFonts w:cs="Arial"/>
          <w:sz w:val="24"/>
        </w:rPr>
        <w:t xml:space="preserve"> the </w:t>
      </w:r>
      <w:r w:rsidR="00CE401D" w:rsidRPr="00FE7514">
        <w:rPr>
          <w:sz w:val="24"/>
        </w:rPr>
        <w:t xml:space="preserve">Clean Power </w:t>
      </w:r>
      <w:r w:rsidR="00CE401D" w:rsidRPr="00265E13">
        <w:rPr>
          <w:sz w:val="24"/>
        </w:rPr>
        <w:t xml:space="preserve">Plan for 2030 </w:t>
      </w:r>
      <w:r w:rsidR="00CE401D">
        <w:rPr>
          <w:sz w:val="24"/>
        </w:rPr>
        <w:t>(</w:t>
      </w:r>
      <w:r w:rsidR="00CE401D" w:rsidRPr="00B309D3">
        <w:rPr>
          <w:sz w:val="24"/>
          <w:szCs w:val="32"/>
        </w:rPr>
        <w:t>CPP30</w:t>
      </w:r>
      <w:r w:rsidR="00CE401D">
        <w:rPr>
          <w:sz w:val="24"/>
          <w:szCs w:val="32"/>
        </w:rPr>
        <w:t>)</w:t>
      </w:r>
      <w:r w:rsidRPr="000406A1">
        <w:rPr>
          <w:rFonts w:cs="Arial"/>
          <w:sz w:val="24"/>
        </w:rPr>
        <w:t xml:space="preserve"> regional technology quota proposals that will emerge</w:t>
      </w:r>
      <w:r w:rsidR="00771892">
        <w:rPr>
          <w:rFonts w:cs="Arial"/>
          <w:sz w:val="24"/>
        </w:rPr>
        <w:t>,</w:t>
      </w:r>
      <w:r w:rsidRPr="000406A1">
        <w:rPr>
          <w:rFonts w:cs="Arial"/>
          <w:sz w:val="24"/>
        </w:rPr>
        <w:t xml:space="preserve"> and any ESO project designation activity that has been undertaken</w:t>
      </w:r>
      <w:r w:rsidR="000A0CDC">
        <w:rPr>
          <w:rFonts w:cs="Arial"/>
          <w:sz w:val="24"/>
        </w:rPr>
        <w:t xml:space="preserve"> at that point</w:t>
      </w:r>
      <w:r w:rsidRPr="000406A1">
        <w:rPr>
          <w:rFonts w:cs="Arial"/>
          <w:sz w:val="24"/>
        </w:rPr>
        <w:t>.</w:t>
      </w:r>
    </w:p>
    <w:p w14:paraId="7DA67B5D" w14:textId="347791BF" w:rsidR="000406A1" w:rsidRPr="000406A1" w:rsidRDefault="000406A1" w:rsidP="000406A1">
      <w:pPr>
        <w:numPr>
          <w:ilvl w:val="0"/>
          <w:numId w:val="47"/>
        </w:numPr>
        <w:spacing w:before="0" w:after="0" w:line="360" w:lineRule="atLeast"/>
        <w:textAlignment w:val="center"/>
        <w:rPr>
          <w:rFonts w:ascii="Calibri" w:hAnsi="Calibri" w:cs="Calibri"/>
          <w:sz w:val="22"/>
          <w:szCs w:val="22"/>
        </w:rPr>
      </w:pPr>
      <w:r w:rsidRPr="000406A1">
        <w:rPr>
          <w:rFonts w:cs="Arial"/>
          <w:sz w:val="24"/>
        </w:rPr>
        <w:t>Parties could then choose to submit an application for capacity advancement, keep their project as is or withdraw (with no penalty)</w:t>
      </w:r>
    </w:p>
    <w:p w14:paraId="0C2FF84A" w14:textId="1418160D" w:rsidR="006D0FA5" w:rsidRPr="000406A1" w:rsidRDefault="000406A1" w:rsidP="000406A1">
      <w:pPr>
        <w:numPr>
          <w:ilvl w:val="0"/>
          <w:numId w:val="47"/>
        </w:numPr>
        <w:spacing w:before="0" w:after="0" w:line="360" w:lineRule="atLeast"/>
        <w:textAlignment w:val="center"/>
        <w:rPr>
          <w:rFonts w:ascii="Calibri" w:hAnsi="Calibri" w:cs="Calibri"/>
          <w:sz w:val="22"/>
          <w:szCs w:val="22"/>
        </w:rPr>
      </w:pPr>
      <w:r w:rsidRPr="000406A1">
        <w:rPr>
          <w:rFonts w:cs="Arial"/>
          <w:sz w:val="24"/>
        </w:rPr>
        <w:t>The TO/ESO network investment would then proceed as under the original proposal, but in our view with a much more credible portfolio of generation projects which will reduce the risk of stranded assets and consumer</w:t>
      </w:r>
      <w:r w:rsidR="005345EA">
        <w:rPr>
          <w:rFonts w:cs="Arial"/>
          <w:sz w:val="24"/>
        </w:rPr>
        <w:t xml:space="preserve"> costs</w:t>
      </w:r>
      <w:r w:rsidRPr="000406A1">
        <w:rPr>
          <w:rFonts w:cs="Arial"/>
          <w:sz w:val="24"/>
        </w:rPr>
        <w:t>.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25DC5E90" w:rsidR="00A86BE7" w:rsidRDefault="000406A1" w:rsidP="000406A1">
      <w:pPr>
        <w:pStyle w:val="ListParagraph"/>
        <w:numPr>
          <w:ilvl w:val="0"/>
          <w:numId w:val="49"/>
        </w:numPr>
        <w:spacing w:before="0" w:after="0" w:line="240" w:lineRule="auto"/>
        <w:jc w:val="both"/>
        <w:textAlignment w:val="baseline"/>
        <w:rPr>
          <w:rFonts w:cs="Arial"/>
          <w:sz w:val="24"/>
        </w:rPr>
      </w:pPr>
      <w:r w:rsidRPr="000406A1">
        <w:rPr>
          <w:rFonts w:cs="Arial"/>
          <w:sz w:val="24"/>
        </w:rPr>
        <w:t>Introduction of a pause for market self</w:t>
      </w:r>
      <w:r>
        <w:rPr>
          <w:rFonts w:cs="Arial"/>
          <w:sz w:val="24"/>
        </w:rPr>
        <w:t>-</w:t>
      </w:r>
      <w:r w:rsidRPr="000406A1">
        <w:rPr>
          <w:rFonts w:cs="Arial"/>
          <w:sz w:val="24"/>
        </w:rPr>
        <w:t>regulation</w:t>
      </w:r>
      <w:r w:rsidR="009807BF">
        <w:rPr>
          <w:rFonts w:cs="Arial"/>
          <w:sz w:val="24"/>
        </w:rPr>
        <w:t xml:space="preserve"> before the ESO/TO undertake the network assessment</w:t>
      </w:r>
    </w:p>
    <w:p w14:paraId="090F63D7" w14:textId="77FF90D2" w:rsidR="000406A1" w:rsidRDefault="009807BF" w:rsidP="000406A1">
      <w:pPr>
        <w:pStyle w:val="ListParagraph"/>
        <w:numPr>
          <w:ilvl w:val="0"/>
          <w:numId w:val="49"/>
        </w:num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Wait until the pause has completed to submit application for advancement as apposed to the current proposal where applicants do this at the point of Gate 2 submission</w:t>
      </w:r>
    </w:p>
    <w:p w14:paraId="10C8CB7D" w14:textId="23BABC7E" w:rsidR="000406A1" w:rsidRPr="000406A1" w:rsidRDefault="000406A1" w:rsidP="000406A1">
      <w:pPr>
        <w:pStyle w:val="ListParagraph"/>
        <w:numPr>
          <w:ilvl w:val="0"/>
          <w:numId w:val="49"/>
        </w:num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Defined obligation for the ESO to publish certain information on the TEC queue by a proposed date.</w:t>
      </w:r>
      <w:r w:rsidR="009807BF">
        <w:rPr>
          <w:rFonts w:cs="Arial"/>
          <w:sz w:val="24"/>
        </w:rPr>
        <w:t xml:space="preserve"> At present the level of detail and the timing of this publication is not specified in the current proposal</w:t>
      </w:r>
    </w:p>
    <w:p w14:paraId="126C859F" w14:textId="77777777" w:rsidR="000406A1" w:rsidRDefault="000406A1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7FF0557" w14:textId="77777777" w:rsidR="000F7344" w:rsidRDefault="000F734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0E20D23" w14:textId="77777777" w:rsidR="000406A1" w:rsidRDefault="000406A1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8"/>
        <w:gridCol w:w="2731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AC159B">
        <w:trPr>
          <w:trHeight w:val="397"/>
        </w:trPr>
        <w:tc>
          <w:tcPr>
            <w:tcW w:w="6478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AC159B">
        <w:trPr>
          <w:trHeight w:val="397"/>
        </w:trPr>
        <w:tc>
          <w:tcPr>
            <w:tcW w:w="6478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731" w:type="dxa"/>
          </w:tcPr>
          <w:p w14:paraId="0FB71530" w14:textId="56344D6D" w:rsidR="000B6FBD" w:rsidRPr="006A726B" w:rsidRDefault="000406A1" w:rsidP="000B6FBD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b/>
                <w:sz w:val="24"/>
              </w:rPr>
              <w:t xml:space="preserve">Positive: </w:t>
            </w:r>
            <w:r w:rsidRPr="00341191">
              <w:rPr>
                <w:bCs/>
                <w:sz w:val="24"/>
              </w:rPr>
              <w:t>NESO will improve its network investment efficiency</w:t>
            </w:r>
          </w:p>
        </w:tc>
      </w:tr>
      <w:tr w:rsidR="000B6FBD" w:rsidRPr="006A726B" w14:paraId="50E6A3C0" w14:textId="77777777" w:rsidTr="00AC159B">
        <w:trPr>
          <w:trHeight w:val="397"/>
        </w:trPr>
        <w:tc>
          <w:tcPr>
            <w:tcW w:w="6478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2731" w:type="dxa"/>
          </w:tcPr>
          <w:p w14:paraId="10240529" w14:textId="4A0AF97F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</w:t>
            </w:r>
            <w:r w:rsidR="0058556B">
              <w:rPr>
                <w:b/>
                <w:sz w:val="24"/>
              </w:rPr>
              <w:t>:</w:t>
            </w:r>
            <w:r w:rsidR="000406A1">
              <w:rPr>
                <w:b/>
                <w:sz w:val="24"/>
              </w:rPr>
              <w:t xml:space="preserve"> </w:t>
            </w:r>
            <w:r w:rsidR="000406A1" w:rsidRPr="009807BF">
              <w:rPr>
                <w:bCs/>
                <w:sz w:val="24"/>
              </w:rPr>
              <w:t>Allows market fundamentals to determine most efficient projects to advance, subject to CP</w:t>
            </w:r>
            <w:r w:rsidR="00533714">
              <w:rPr>
                <w:bCs/>
                <w:sz w:val="24"/>
              </w:rPr>
              <w:t>P</w:t>
            </w:r>
            <w:r w:rsidR="000406A1" w:rsidRPr="009807BF">
              <w:rPr>
                <w:bCs/>
                <w:sz w:val="24"/>
              </w:rPr>
              <w:t>30 criteria</w:t>
            </w:r>
          </w:p>
        </w:tc>
      </w:tr>
      <w:tr w:rsidR="000B6FBD" w:rsidRPr="006A726B" w14:paraId="34F24340" w14:textId="77777777" w:rsidTr="00AC159B">
        <w:trPr>
          <w:trHeight w:val="397"/>
        </w:trPr>
        <w:tc>
          <w:tcPr>
            <w:tcW w:w="6478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731" w:type="dxa"/>
          </w:tcPr>
          <w:p w14:paraId="103AA5AB" w14:textId="54F747C5" w:rsidR="000B6FBD" w:rsidRPr="006A726B" w:rsidRDefault="0058556B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9807BF">
              <w:rPr>
                <w:bCs/>
                <w:sz w:val="24"/>
              </w:rPr>
              <w:t>Neutral</w:t>
            </w:r>
          </w:p>
        </w:tc>
      </w:tr>
      <w:tr w:rsidR="000B6FBD" w:rsidRPr="006A726B" w14:paraId="1F3D76F1" w14:textId="77777777" w:rsidTr="00AC159B">
        <w:trPr>
          <w:trHeight w:val="397"/>
        </w:trPr>
        <w:tc>
          <w:tcPr>
            <w:tcW w:w="6478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2731" w:type="dxa"/>
          </w:tcPr>
          <w:p w14:paraId="2EE4EBF9" w14:textId="2E6778AC" w:rsidR="000B6FBD" w:rsidRPr="006A726B" w:rsidRDefault="0058556B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sz w:val="24"/>
              </w:rPr>
              <w:t>Neutral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6E10F4A5" w:rsidR="00986892" w:rsidRDefault="000406A1" w:rsidP="00986892">
      <w:pPr>
        <w:jc w:val="both"/>
        <w:rPr>
          <w:sz w:val="24"/>
        </w:rPr>
      </w:pPr>
      <w:r>
        <w:rPr>
          <w:sz w:val="24"/>
        </w:rPr>
        <w:t>This is aligned with the implementation date of the original proposal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7FAB533D" w14:textId="3061455D" w:rsidR="003F129C" w:rsidRPr="00AC04D3" w:rsidRDefault="00506DE6" w:rsidP="00976D98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  <w:r>
        <w:rPr>
          <w:sz w:val="24"/>
        </w:rPr>
        <w:t>TBC</w:t>
      </w:r>
    </w:p>
    <w:p w14:paraId="43A10972" w14:textId="77777777" w:rsidR="00E65196" w:rsidRPr="00095D82" w:rsidRDefault="00E65196" w:rsidP="00E25874">
      <w:bookmarkStart w:id="3" w:name="_Workgroup_Consultation_1"/>
      <w:bookmarkEnd w:id="3"/>
    </w:p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r w:rsidRPr="00726C06">
        <w:t>Acronym</w:t>
      </w:r>
      <w:r w:rsidR="00250A22">
        <w:t>s, key terms</w:t>
      </w:r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77777777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7777024E" w:rsidR="00C73CBB" w:rsidRPr="006A726B" w:rsidRDefault="001D6085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ESO</w:t>
            </w:r>
          </w:p>
        </w:tc>
        <w:tc>
          <w:tcPr>
            <w:tcW w:w="6662" w:type="dxa"/>
          </w:tcPr>
          <w:p w14:paraId="31EE93D9" w14:textId="2F38D24F" w:rsidR="00C73CBB" w:rsidRPr="00A61985" w:rsidRDefault="001D6085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Electricity System Operator</w:t>
            </w: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10752593" w:rsidR="00046CCE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RFI</w:t>
            </w:r>
          </w:p>
        </w:tc>
        <w:tc>
          <w:tcPr>
            <w:tcW w:w="6662" w:type="dxa"/>
          </w:tcPr>
          <w:p w14:paraId="7614155B" w14:textId="172E677A" w:rsidR="00046CCE" w:rsidRPr="006A726B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rFonts w:cs="Arial"/>
                <w:sz w:val="24"/>
              </w:rPr>
              <w:t>Request for Information</w:t>
            </w:r>
          </w:p>
        </w:tc>
      </w:tr>
      <w:tr w:rsidR="00046CCE" w14:paraId="3B27F54C" w14:textId="77777777" w:rsidTr="00250A22">
        <w:tc>
          <w:tcPr>
            <w:tcW w:w="2547" w:type="dxa"/>
          </w:tcPr>
          <w:p w14:paraId="1A4486A5" w14:textId="6EB4CA80" w:rsidR="00046CCE" w:rsidRPr="006A726B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CPP30</w:t>
            </w:r>
          </w:p>
        </w:tc>
        <w:tc>
          <w:tcPr>
            <w:tcW w:w="6662" w:type="dxa"/>
          </w:tcPr>
          <w:p w14:paraId="51EE39B0" w14:textId="7E24D65A" w:rsidR="00046CCE" w:rsidRPr="006A726B" w:rsidRDefault="005A456B" w:rsidP="0034026E">
            <w:pPr>
              <w:spacing w:before="0" w:after="0"/>
              <w:rPr>
                <w:sz w:val="24"/>
              </w:rPr>
            </w:pPr>
            <w:r w:rsidRPr="00FE7514">
              <w:rPr>
                <w:sz w:val="24"/>
              </w:rPr>
              <w:t xml:space="preserve">Clean Power </w:t>
            </w:r>
            <w:r w:rsidRPr="00265E13">
              <w:rPr>
                <w:sz w:val="24"/>
              </w:rPr>
              <w:t>Plan for 2030</w:t>
            </w:r>
          </w:p>
        </w:tc>
      </w:tr>
      <w:tr w:rsidR="00B04009" w14:paraId="71749F20" w14:textId="77777777" w:rsidTr="00250A22">
        <w:tc>
          <w:tcPr>
            <w:tcW w:w="2547" w:type="dxa"/>
          </w:tcPr>
          <w:p w14:paraId="06FA2EB8" w14:textId="45487C9F" w:rsidR="00B04009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TEC</w:t>
            </w:r>
          </w:p>
        </w:tc>
        <w:tc>
          <w:tcPr>
            <w:tcW w:w="6662" w:type="dxa"/>
          </w:tcPr>
          <w:p w14:paraId="46DEEE9C" w14:textId="66B8C2D0" w:rsidR="00B04009" w:rsidRPr="006A726B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rFonts w:cs="Arial"/>
                <w:sz w:val="24"/>
              </w:rPr>
              <w:t>Transmission Entry Capacity</w:t>
            </w:r>
          </w:p>
        </w:tc>
      </w:tr>
      <w:tr w:rsidR="00B04009" w14:paraId="5A3116DB" w14:textId="77777777" w:rsidTr="00250A22">
        <w:tc>
          <w:tcPr>
            <w:tcW w:w="2547" w:type="dxa"/>
          </w:tcPr>
          <w:p w14:paraId="22098144" w14:textId="20487992" w:rsidR="00B04009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FES</w:t>
            </w:r>
          </w:p>
        </w:tc>
        <w:tc>
          <w:tcPr>
            <w:tcW w:w="6662" w:type="dxa"/>
          </w:tcPr>
          <w:p w14:paraId="61B0E43E" w14:textId="60C7704D" w:rsidR="00B04009" w:rsidRPr="006A726B" w:rsidRDefault="005A456B" w:rsidP="0034026E">
            <w:pPr>
              <w:spacing w:before="0" w:after="0"/>
              <w:rPr>
                <w:sz w:val="24"/>
              </w:rPr>
            </w:pPr>
            <w:r>
              <w:rPr>
                <w:rFonts w:cs="Arial"/>
                <w:sz w:val="24"/>
              </w:rPr>
              <w:t>Future Energy Scenarios</w:t>
            </w:r>
          </w:p>
        </w:tc>
      </w:tr>
    </w:tbl>
    <w:p w14:paraId="360911E0" w14:textId="77777777" w:rsidR="000570EE" w:rsidRDefault="000570EE" w:rsidP="00754610">
      <w:pPr>
        <w:rPr>
          <w:b/>
          <w:sz w:val="24"/>
        </w:rPr>
      </w:pPr>
    </w:p>
    <w:p w14:paraId="1D961AE1" w14:textId="62FA9D7B" w:rsidR="00D037F9" w:rsidRDefault="00D037F9" w:rsidP="00D037F9">
      <w:pPr>
        <w:rPr>
          <w:sz w:val="24"/>
        </w:rPr>
      </w:pPr>
    </w:p>
    <w:sectPr w:rsidR="00D037F9" w:rsidSect="003B11AC">
      <w:headerReference w:type="default" r:id="rId12"/>
      <w:footerReference w:type="default" r:id="rId13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E99BD" w14:textId="77777777" w:rsidR="00106A7D" w:rsidRDefault="00106A7D" w:rsidP="00D06DC4">
      <w:pPr>
        <w:spacing w:before="0" w:after="0" w:line="240" w:lineRule="auto"/>
      </w:pPr>
      <w:r>
        <w:separator/>
      </w:r>
    </w:p>
  </w:endnote>
  <w:endnote w:type="continuationSeparator" w:id="0">
    <w:p w14:paraId="510A69F5" w14:textId="77777777" w:rsidR="00106A7D" w:rsidRDefault="00106A7D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01D51366" w14:textId="77777777" w:rsidR="00106A7D" w:rsidRDefault="00106A7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6B05" w14:textId="77777777" w:rsidR="00106A7D" w:rsidRDefault="00106A7D" w:rsidP="00D06DC4">
      <w:pPr>
        <w:spacing w:before="0" w:after="0" w:line="240" w:lineRule="auto"/>
      </w:pPr>
      <w:r>
        <w:separator/>
      </w:r>
    </w:p>
  </w:footnote>
  <w:footnote w:type="continuationSeparator" w:id="0">
    <w:p w14:paraId="0B3ACA8D" w14:textId="77777777" w:rsidR="00106A7D" w:rsidRDefault="00106A7D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699349F0" w14:textId="77777777" w:rsidR="00106A7D" w:rsidRDefault="00106A7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4" w:name="_Hlk31876634"/>
    <w:bookmarkStart w:id="5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7EBA3FD7" w:rsidR="00B8588F" w:rsidRDefault="00B8588F" w:rsidP="000C711B">
    <w:pPr>
      <w:pStyle w:val="Header"/>
      <w:ind w:left="720" w:firstLine="720"/>
      <w:jc w:val="right"/>
    </w:pPr>
    <w:r>
      <w:tab/>
    </w:r>
    <w:r>
      <w:tab/>
    </w:r>
    <w:r w:rsidR="00D039FA">
      <w:t>CMP</w:t>
    </w:r>
    <w:r w:rsidR="00EE1412">
      <w:t>43</w:t>
    </w:r>
    <w:r w:rsidR="009A54D0">
      <w:t>5</w:t>
    </w:r>
    <w:r w:rsidR="00F15028">
      <w:t xml:space="preserve"> Alternative </w:t>
    </w:r>
    <w:r w:rsidR="00B36B47">
      <w:t>9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182"/>
    <w:multiLevelType w:val="multilevel"/>
    <w:tmpl w:val="93CC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8" w15:restartNumberingAfterBreak="0">
    <w:nsid w:val="1648720C"/>
    <w:multiLevelType w:val="hybridMultilevel"/>
    <w:tmpl w:val="0CCA018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801E5"/>
    <w:multiLevelType w:val="hybridMultilevel"/>
    <w:tmpl w:val="A058E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0C606C"/>
    <w:multiLevelType w:val="hybridMultilevel"/>
    <w:tmpl w:val="8ECEE9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29"/>
  </w:num>
  <w:num w:numId="2" w16cid:durableId="834683394">
    <w:abstractNumId w:val="7"/>
  </w:num>
  <w:num w:numId="3" w16cid:durableId="139812832">
    <w:abstractNumId w:val="37"/>
  </w:num>
  <w:num w:numId="4" w16cid:durableId="1871451881">
    <w:abstractNumId w:val="20"/>
  </w:num>
  <w:num w:numId="5" w16cid:durableId="152186045">
    <w:abstractNumId w:val="11"/>
  </w:num>
  <w:num w:numId="6" w16cid:durableId="1468814304">
    <w:abstractNumId w:val="21"/>
  </w:num>
  <w:num w:numId="7" w16cid:durableId="1796295826">
    <w:abstractNumId w:val="14"/>
  </w:num>
  <w:num w:numId="8" w16cid:durableId="415637216">
    <w:abstractNumId w:val="46"/>
  </w:num>
  <w:num w:numId="9" w16cid:durableId="2003968852">
    <w:abstractNumId w:val="19"/>
  </w:num>
  <w:num w:numId="10" w16cid:durableId="1434938007">
    <w:abstractNumId w:val="5"/>
  </w:num>
  <w:num w:numId="11" w16cid:durableId="247152751">
    <w:abstractNumId w:val="12"/>
  </w:num>
  <w:num w:numId="12" w16cid:durableId="269817980">
    <w:abstractNumId w:val="42"/>
  </w:num>
  <w:num w:numId="13" w16cid:durableId="900486394">
    <w:abstractNumId w:val="28"/>
  </w:num>
  <w:num w:numId="14" w16cid:durableId="715859044">
    <w:abstractNumId w:val="24"/>
  </w:num>
  <w:num w:numId="15" w16cid:durableId="1272126062">
    <w:abstractNumId w:val="1"/>
  </w:num>
  <w:num w:numId="16" w16cid:durableId="1513912385">
    <w:abstractNumId w:val="40"/>
  </w:num>
  <w:num w:numId="17" w16cid:durableId="214659590">
    <w:abstractNumId w:val="36"/>
  </w:num>
  <w:num w:numId="18" w16cid:durableId="1781606334">
    <w:abstractNumId w:val="23"/>
  </w:num>
  <w:num w:numId="19" w16cid:durableId="1506280495">
    <w:abstractNumId w:val="15"/>
  </w:num>
  <w:num w:numId="20" w16cid:durableId="94710958">
    <w:abstractNumId w:val="10"/>
  </w:num>
  <w:num w:numId="21" w16cid:durableId="1925144489">
    <w:abstractNumId w:val="31"/>
  </w:num>
  <w:num w:numId="22" w16cid:durableId="1103845311">
    <w:abstractNumId w:val="34"/>
  </w:num>
  <w:num w:numId="23" w16cid:durableId="2043364612">
    <w:abstractNumId w:val="4"/>
  </w:num>
  <w:num w:numId="24" w16cid:durableId="665480676">
    <w:abstractNumId w:val="17"/>
  </w:num>
  <w:num w:numId="25" w16cid:durableId="1005597105">
    <w:abstractNumId w:val="45"/>
  </w:num>
  <w:num w:numId="26" w16cid:durableId="874151452">
    <w:abstractNumId w:val="13"/>
  </w:num>
  <w:num w:numId="27" w16cid:durableId="346642229">
    <w:abstractNumId w:val="30"/>
  </w:num>
  <w:num w:numId="28" w16cid:durableId="816651842">
    <w:abstractNumId w:val="9"/>
  </w:num>
  <w:num w:numId="29" w16cid:durableId="1407806038">
    <w:abstractNumId w:val="33"/>
  </w:num>
  <w:num w:numId="30" w16cid:durableId="929972398">
    <w:abstractNumId w:val="41"/>
  </w:num>
  <w:num w:numId="31" w16cid:durableId="1052509525">
    <w:abstractNumId w:val="38"/>
  </w:num>
  <w:num w:numId="32" w16cid:durableId="1815175453">
    <w:abstractNumId w:val="0"/>
  </w:num>
  <w:num w:numId="33" w16cid:durableId="107088916">
    <w:abstractNumId w:val="26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32"/>
  </w:num>
  <w:num w:numId="37" w16cid:durableId="50884908">
    <w:abstractNumId w:val="25"/>
  </w:num>
  <w:num w:numId="38" w16cid:durableId="581330511">
    <w:abstractNumId w:val="38"/>
  </w:num>
  <w:num w:numId="39" w16cid:durableId="1815485920">
    <w:abstractNumId w:val="18"/>
  </w:num>
  <w:num w:numId="40" w16cid:durableId="1797525147">
    <w:abstractNumId w:val="38"/>
  </w:num>
  <w:num w:numId="41" w16cid:durableId="579943182">
    <w:abstractNumId w:val="2"/>
  </w:num>
  <w:num w:numId="42" w16cid:durableId="5465741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35"/>
  </w:num>
  <w:num w:numId="44" w16cid:durableId="2035107057">
    <w:abstractNumId w:val="39"/>
  </w:num>
  <w:num w:numId="45" w16cid:durableId="1757940763">
    <w:abstractNumId w:val="27"/>
  </w:num>
  <w:num w:numId="46" w16cid:durableId="741218629">
    <w:abstractNumId w:val="8"/>
  </w:num>
  <w:num w:numId="47" w16cid:durableId="1055350584">
    <w:abstractNumId w:val="22"/>
  </w:num>
  <w:num w:numId="48" w16cid:durableId="445272611">
    <w:abstractNumId w:val="6"/>
  </w:num>
  <w:num w:numId="49" w16cid:durableId="13546518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58F6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06A1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A0CDC"/>
    <w:rsid w:val="000A10E8"/>
    <w:rsid w:val="000A2D90"/>
    <w:rsid w:val="000A3750"/>
    <w:rsid w:val="000A6E2E"/>
    <w:rsid w:val="000B138B"/>
    <w:rsid w:val="000B1E99"/>
    <w:rsid w:val="000B1F6E"/>
    <w:rsid w:val="000B6AB0"/>
    <w:rsid w:val="000B6ADA"/>
    <w:rsid w:val="000B6FBD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344"/>
    <w:rsid w:val="000F7DBD"/>
    <w:rsid w:val="000F7DE1"/>
    <w:rsid w:val="001001FD"/>
    <w:rsid w:val="001010DC"/>
    <w:rsid w:val="00101348"/>
    <w:rsid w:val="001018FF"/>
    <w:rsid w:val="00101B9C"/>
    <w:rsid w:val="0010339F"/>
    <w:rsid w:val="00105605"/>
    <w:rsid w:val="00105DE3"/>
    <w:rsid w:val="00106A7D"/>
    <w:rsid w:val="00106E46"/>
    <w:rsid w:val="0010791D"/>
    <w:rsid w:val="00107D66"/>
    <w:rsid w:val="001118CF"/>
    <w:rsid w:val="00111CBD"/>
    <w:rsid w:val="001171E8"/>
    <w:rsid w:val="00120724"/>
    <w:rsid w:val="001236C0"/>
    <w:rsid w:val="0012453D"/>
    <w:rsid w:val="0012463C"/>
    <w:rsid w:val="00126C8E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C95"/>
    <w:rsid w:val="00175B87"/>
    <w:rsid w:val="00175C02"/>
    <w:rsid w:val="00184853"/>
    <w:rsid w:val="001853F8"/>
    <w:rsid w:val="0019086A"/>
    <w:rsid w:val="00194981"/>
    <w:rsid w:val="001A21EE"/>
    <w:rsid w:val="001A5284"/>
    <w:rsid w:val="001A77D1"/>
    <w:rsid w:val="001B0673"/>
    <w:rsid w:val="001B13B5"/>
    <w:rsid w:val="001B1677"/>
    <w:rsid w:val="001B18BC"/>
    <w:rsid w:val="001B2928"/>
    <w:rsid w:val="001B29CF"/>
    <w:rsid w:val="001B7104"/>
    <w:rsid w:val="001B76B1"/>
    <w:rsid w:val="001C0212"/>
    <w:rsid w:val="001C05F7"/>
    <w:rsid w:val="001C0A4C"/>
    <w:rsid w:val="001C0F35"/>
    <w:rsid w:val="001C12B3"/>
    <w:rsid w:val="001C22BD"/>
    <w:rsid w:val="001C36EA"/>
    <w:rsid w:val="001C6B13"/>
    <w:rsid w:val="001C7125"/>
    <w:rsid w:val="001D1369"/>
    <w:rsid w:val="001D150E"/>
    <w:rsid w:val="001D1FAC"/>
    <w:rsid w:val="001D3A73"/>
    <w:rsid w:val="001D3B61"/>
    <w:rsid w:val="001D435D"/>
    <w:rsid w:val="001D435E"/>
    <w:rsid w:val="001D48A3"/>
    <w:rsid w:val="001D4D6D"/>
    <w:rsid w:val="001D6085"/>
    <w:rsid w:val="001D741E"/>
    <w:rsid w:val="001E1149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4E96"/>
    <w:rsid w:val="0020753B"/>
    <w:rsid w:val="00207706"/>
    <w:rsid w:val="00207CBF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6C1F"/>
    <w:rsid w:val="002571BD"/>
    <w:rsid w:val="0025735E"/>
    <w:rsid w:val="00262EA3"/>
    <w:rsid w:val="0026367B"/>
    <w:rsid w:val="00264D0F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53F4"/>
    <w:rsid w:val="002C5585"/>
    <w:rsid w:val="002C7DAD"/>
    <w:rsid w:val="002D20B5"/>
    <w:rsid w:val="002D28D8"/>
    <w:rsid w:val="002D725D"/>
    <w:rsid w:val="002D79B9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2F61FB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765F"/>
    <w:rsid w:val="003277D1"/>
    <w:rsid w:val="00327A32"/>
    <w:rsid w:val="00331C2F"/>
    <w:rsid w:val="003335DA"/>
    <w:rsid w:val="00333A2B"/>
    <w:rsid w:val="0033533D"/>
    <w:rsid w:val="003376EF"/>
    <w:rsid w:val="003378C3"/>
    <w:rsid w:val="00340176"/>
    <w:rsid w:val="0034026E"/>
    <w:rsid w:val="00341191"/>
    <w:rsid w:val="00341799"/>
    <w:rsid w:val="0034296D"/>
    <w:rsid w:val="00343534"/>
    <w:rsid w:val="003435F0"/>
    <w:rsid w:val="0034387B"/>
    <w:rsid w:val="00343B5F"/>
    <w:rsid w:val="00344A95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5B98"/>
    <w:rsid w:val="00376580"/>
    <w:rsid w:val="0037724E"/>
    <w:rsid w:val="00377CF0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5AC0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7F0D"/>
    <w:rsid w:val="003C2A0A"/>
    <w:rsid w:val="003C3304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B47"/>
    <w:rsid w:val="003E7C0A"/>
    <w:rsid w:val="003F129C"/>
    <w:rsid w:val="003F2AEE"/>
    <w:rsid w:val="003F6FB7"/>
    <w:rsid w:val="00400916"/>
    <w:rsid w:val="004009B8"/>
    <w:rsid w:val="00401423"/>
    <w:rsid w:val="004022DC"/>
    <w:rsid w:val="004030F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307DC"/>
    <w:rsid w:val="00431412"/>
    <w:rsid w:val="00432F11"/>
    <w:rsid w:val="004341A4"/>
    <w:rsid w:val="004343FD"/>
    <w:rsid w:val="00434FBE"/>
    <w:rsid w:val="00440402"/>
    <w:rsid w:val="00441626"/>
    <w:rsid w:val="0044253C"/>
    <w:rsid w:val="0044405D"/>
    <w:rsid w:val="0044518C"/>
    <w:rsid w:val="00447F67"/>
    <w:rsid w:val="00450B7C"/>
    <w:rsid w:val="00453E26"/>
    <w:rsid w:val="004544AD"/>
    <w:rsid w:val="00456405"/>
    <w:rsid w:val="00457BE7"/>
    <w:rsid w:val="00460894"/>
    <w:rsid w:val="00463AC0"/>
    <w:rsid w:val="00464D4A"/>
    <w:rsid w:val="00466C22"/>
    <w:rsid w:val="00466ED7"/>
    <w:rsid w:val="00466F83"/>
    <w:rsid w:val="004729F2"/>
    <w:rsid w:val="0047354A"/>
    <w:rsid w:val="00473898"/>
    <w:rsid w:val="00473DF7"/>
    <w:rsid w:val="00476CE2"/>
    <w:rsid w:val="00477368"/>
    <w:rsid w:val="00481E9F"/>
    <w:rsid w:val="00486612"/>
    <w:rsid w:val="004875AA"/>
    <w:rsid w:val="0048771C"/>
    <w:rsid w:val="004902CA"/>
    <w:rsid w:val="00490C99"/>
    <w:rsid w:val="0049139C"/>
    <w:rsid w:val="004930C4"/>
    <w:rsid w:val="00494C92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52BF"/>
    <w:rsid w:val="004B6882"/>
    <w:rsid w:val="004C08EB"/>
    <w:rsid w:val="004C1CBA"/>
    <w:rsid w:val="004C24CD"/>
    <w:rsid w:val="004C3B99"/>
    <w:rsid w:val="004C445F"/>
    <w:rsid w:val="004C5B2D"/>
    <w:rsid w:val="004C6C32"/>
    <w:rsid w:val="004D1867"/>
    <w:rsid w:val="004D1D8B"/>
    <w:rsid w:val="004D1EA3"/>
    <w:rsid w:val="004D3FD7"/>
    <w:rsid w:val="004D4D9C"/>
    <w:rsid w:val="004E1F61"/>
    <w:rsid w:val="004E2A51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6DE6"/>
    <w:rsid w:val="005072CD"/>
    <w:rsid w:val="005077FD"/>
    <w:rsid w:val="00510815"/>
    <w:rsid w:val="005134C4"/>
    <w:rsid w:val="0051689B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3714"/>
    <w:rsid w:val="005345EA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61A2"/>
    <w:rsid w:val="00556C2B"/>
    <w:rsid w:val="00560248"/>
    <w:rsid w:val="0056190C"/>
    <w:rsid w:val="005625BF"/>
    <w:rsid w:val="0056563A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8556B"/>
    <w:rsid w:val="005913CB"/>
    <w:rsid w:val="005947E2"/>
    <w:rsid w:val="00597266"/>
    <w:rsid w:val="005A12C5"/>
    <w:rsid w:val="005A24E4"/>
    <w:rsid w:val="005A2BDD"/>
    <w:rsid w:val="005A3938"/>
    <w:rsid w:val="005A456B"/>
    <w:rsid w:val="005A734D"/>
    <w:rsid w:val="005B0297"/>
    <w:rsid w:val="005B5D5C"/>
    <w:rsid w:val="005C06B0"/>
    <w:rsid w:val="005C2D1D"/>
    <w:rsid w:val="005C3D47"/>
    <w:rsid w:val="005D2AEF"/>
    <w:rsid w:val="005D4382"/>
    <w:rsid w:val="005D471B"/>
    <w:rsid w:val="005D4914"/>
    <w:rsid w:val="005E039D"/>
    <w:rsid w:val="005E09BC"/>
    <w:rsid w:val="005E3C02"/>
    <w:rsid w:val="005F1298"/>
    <w:rsid w:val="005F2A9F"/>
    <w:rsid w:val="005F3075"/>
    <w:rsid w:val="005F386B"/>
    <w:rsid w:val="005F5C57"/>
    <w:rsid w:val="005F5EAE"/>
    <w:rsid w:val="005F64FA"/>
    <w:rsid w:val="005F667A"/>
    <w:rsid w:val="005F78B9"/>
    <w:rsid w:val="00602A2C"/>
    <w:rsid w:val="00606E70"/>
    <w:rsid w:val="00607646"/>
    <w:rsid w:val="00611611"/>
    <w:rsid w:val="006128B2"/>
    <w:rsid w:val="006137B8"/>
    <w:rsid w:val="00614E49"/>
    <w:rsid w:val="00615E98"/>
    <w:rsid w:val="00617A28"/>
    <w:rsid w:val="00617BBF"/>
    <w:rsid w:val="00622027"/>
    <w:rsid w:val="006227CA"/>
    <w:rsid w:val="00622DE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14F6"/>
    <w:rsid w:val="006520B6"/>
    <w:rsid w:val="00653999"/>
    <w:rsid w:val="00663B2B"/>
    <w:rsid w:val="00666CD4"/>
    <w:rsid w:val="0067076D"/>
    <w:rsid w:val="00671E4D"/>
    <w:rsid w:val="00675D08"/>
    <w:rsid w:val="00677E55"/>
    <w:rsid w:val="006822C4"/>
    <w:rsid w:val="00685E30"/>
    <w:rsid w:val="00685EB8"/>
    <w:rsid w:val="0068647B"/>
    <w:rsid w:val="006905A7"/>
    <w:rsid w:val="006908DC"/>
    <w:rsid w:val="00691688"/>
    <w:rsid w:val="006925BA"/>
    <w:rsid w:val="00695014"/>
    <w:rsid w:val="00695934"/>
    <w:rsid w:val="00696E5F"/>
    <w:rsid w:val="006A04AE"/>
    <w:rsid w:val="006A086C"/>
    <w:rsid w:val="006A726B"/>
    <w:rsid w:val="006A7BEF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66F4"/>
    <w:rsid w:val="006C6DC5"/>
    <w:rsid w:val="006C72B8"/>
    <w:rsid w:val="006D0EBA"/>
    <w:rsid w:val="006D0FA5"/>
    <w:rsid w:val="006D7A67"/>
    <w:rsid w:val="006E0DC0"/>
    <w:rsid w:val="006E11DD"/>
    <w:rsid w:val="006E1C12"/>
    <w:rsid w:val="006E2018"/>
    <w:rsid w:val="006E27B8"/>
    <w:rsid w:val="006E5C07"/>
    <w:rsid w:val="006E67E4"/>
    <w:rsid w:val="006F04A0"/>
    <w:rsid w:val="006F1DF3"/>
    <w:rsid w:val="006F2907"/>
    <w:rsid w:val="006F4AA5"/>
    <w:rsid w:val="00700043"/>
    <w:rsid w:val="00701EB8"/>
    <w:rsid w:val="007064FC"/>
    <w:rsid w:val="00710C46"/>
    <w:rsid w:val="00712172"/>
    <w:rsid w:val="007138BA"/>
    <w:rsid w:val="00713918"/>
    <w:rsid w:val="00713B5F"/>
    <w:rsid w:val="00713F16"/>
    <w:rsid w:val="00715FEA"/>
    <w:rsid w:val="00716CAF"/>
    <w:rsid w:val="00720A4F"/>
    <w:rsid w:val="007239D2"/>
    <w:rsid w:val="0072535F"/>
    <w:rsid w:val="00726C06"/>
    <w:rsid w:val="007274D5"/>
    <w:rsid w:val="00727E02"/>
    <w:rsid w:val="00736C35"/>
    <w:rsid w:val="0074203B"/>
    <w:rsid w:val="007458C6"/>
    <w:rsid w:val="007467D5"/>
    <w:rsid w:val="00750D0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1892"/>
    <w:rsid w:val="00772928"/>
    <w:rsid w:val="0077503C"/>
    <w:rsid w:val="007756AD"/>
    <w:rsid w:val="00775821"/>
    <w:rsid w:val="007760F3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77E0"/>
    <w:rsid w:val="007A159A"/>
    <w:rsid w:val="007A33A6"/>
    <w:rsid w:val="007A3AAD"/>
    <w:rsid w:val="007A4186"/>
    <w:rsid w:val="007A5084"/>
    <w:rsid w:val="007A536A"/>
    <w:rsid w:val="007A6096"/>
    <w:rsid w:val="007A675B"/>
    <w:rsid w:val="007B0918"/>
    <w:rsid w:val="007B5272"/>
    <w:rsid w:val="007B7ABB"/>
    <w:rsid w:val="007C125A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451"/>
    <w:rsid w:val="007E0122"/>
    <w:rsid w:val="007E4370"/>
    <w:rsid w:val="007E470D"/>
    <w:rsid w:val="007E6040"/>
    <w:rsid w:val="007F1F4B"/>
    <w:rsid w:val="007F38BA"/>
    <w:rsid w:val="007F7185"/>
    <w:rsid w:val="007F7AFF"/>
    <w:rsid w:val="008006B5"/>
    <w:rsid w:val="00800BB4"/>
    <w:rsid w:val="00814583"/>
    <w:rsid w:val="008161BE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4C72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C3972"/>
    <w:rsid w:val="008C54A0"/>
    <w:rsid w:val="008C5DFD"/>
    <w:rsid w:val="008C69B9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4AC"/>
    <w:rsid w:val="00912A60"/>
    <w:rsid w:val="0091322A"/>
    <w:rsid w:val="0091591F"/>
    <w:rsid w:val="009208CA"/>
    <w:rsid w:val="00926C17"/>
    <w:rsid w:val="00927745"/>
    <w:rsid w:val="00930E16"/>
    <w:rsid w:val="009313C8"/>
    <w:rsid w:val="0093552D"/>
    <w:rsid w:val="00935A79"/>
    <w:rsid w:val="00937D02"/>
    <w:rsid w:val="00941EBE"/>
    <w:rsid w:val="00943569"/>
    <w:rsid w:val="00946299"/>
    <w:rsid w:val="00950BAA"/>
    <w:rsid w:val="00950FC5"/>
    <w:rsid w:val="00951B5C"/>
    <w:rsid w:val="0095596B"/>
    <w:rsid w:val="009572DD"/>
    <w:rsid w:val="009642D3"/>
    <w:rsid w:val="00965A79"/>
    <w:rsid w:val="00976D98"/>
    <w:rsid w:val="00977314"/>
    <w:rsid w:val="00977EC9"/>
    <w:rsid w:val="009807BF"/>
    <w:rsid w:val="00980F87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A54D0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D94"/>
    <w:rsid w:val="009F1FFF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B4D"/>
    <w:rsid w:val="00A2057F"/>
    <w:rsid w:val="00A26178"/>
    <w:rsid w:val="00A2633E"/>
    <w:rsid w:val="00A33AB4"/>
    <w:rsid w:val="00A3611A"/>
    <w:rsid w:val="00A412AA"/>
    <w:rsid w:val="00A423E3"/>
    <w:rsid w:val="00A46421"/>
    <w:rsid w:val="00A471BF"/>
    <w:rsid w:val="00A515F0"/>
    <w:rsid w:val="00A529B0"/>
    <w:rsid w:val="00A5435A"/>
    <w:rsid w:val="00A54D12"/>
    <w:rsid w:val="00A5670B"/>
    <w:rsid w:val="00A6159E"/>
    <w:rsid w:val="00A61985"/>
    <w:rsid w:val="00A632A3"/>
    <w:rsid w:val="00A71218"/>
    <w:rsid w:val="00A722AE"/>
    <w:rsid w:val="00A7443D"/>
    <w:rsid w:val="00A75365"/>
    <w:rsid w:val="00A77C9C"/>
    <w:rsid w:val="00A81FEC"/>
    <w:rsid w:val="00A84E71"/>
    <w:rsid w:val="00A85925"/>
    <w:rsid w:val="00A860A7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48EB"/>
    <w:rsid w:val="00AF5EE4"/>
    <w:rsid w:val="00AF62D1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5544"/>
    <w:rsid w:val="00B255BA"/>
    <w:rsid w:val="00B3091D"/>
    <w:rsid w:val="00B31506"/>
    <w:rsid w:val="00B3294B"/>
    <w:rsid w:val="00B340AE"/>
    <w:rsid w:val="00B36B47"/>
    <w:rsid w:val="00B37551"/>
    <w:rsid w:val="00B4029D"/>
    <w:rsid w:val="00B41AC8"/>
    <w:rsid w:val="00B41B20"/>
    <w:rsid w:val="00B43A70"/>
    <w:rsid w:val="00B446DA"/>
    <w:rsid w:val="00B447D6"/>
    <w:rsid w:val="00B46E58"/>
    <w:rsid w:val="00B51A27"/>
    <w:rsid w:val="00B52323"/>
    <w:rsid w:val="00B52754"/>
    <w:rsid w:val="00B538AB"/>
    <w:rsid w:val="00B54392"/>
    <w:rsid w:val="00B55059"/>
    <w:rsid w:val="00B5540A"/>
    <w:rsid w:val="00B56B61"/>
    <w:rsid w:val="00B56D4E"/>
    <w:rsid w:val="00B577E3"/>
    <w:rsid w:val="00B608AE"/>
    <w:rsid w:val="00B61EB0"/>
    <w:rsid w:val="00B65B2D"/>
    <w:rsid w:val="00B713F8"/>
    <w:rsid w:val="00B72194"/>
    <w:rsid w:val="00B74654"/>
    <w:rsid w:val="00B802AA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40BA"/>
    <w:rsid w:val="00C179B0"/>
    <w:rsid w:val="00C2032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18C2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574D"/>
    <w:rsid w:val="00C66C68"/>
    <w:rsid w:val="00C67871"/>
    <w:rsid w:val="00C72640"/>
    <w:rsid w:val="00C736D5"/>
    <w:rsid w:val="00C73CBB"/>
    <w:rsid w:val="00C759D1"/>
    <w:rsid w:val="00C75DAF"/>
    <w:rsid w:val="00C77D3F"/>
    <w:rsid w:val="00C80567"/>
    <w:rsid w:val="00C8181A"/>
    <w:rsid w:val="00C84422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401D"/>
    <w:rsid w:val="00CE58B0"/>
    <w:rsid w:val="00CE5FF5"/>
    <w:rsid w:val="00CE6F64"/>
    <w:rsid w:val="00CE7473"/>
    <w:rsid w:val="00CF049A"/>
    <w:rsid w:val="00CF249D"/>
    <w:rsid w:val="00CF6005"/>
    <w:rsid w:val="00CF7801"/>
    <w:rsid w:val="00D00751"/>
    <w:rsid w:val="00D00DEA"/>
    <w:rsid w:val="00D037F9"/>
    <w:rsid w:val="00D039FA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4A20"/>
    <w:rsid w:val="00D65377"/>
    <w:rsid w:val="00D66F94"/>
    <w:rsid w:val="00D67909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BC4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B21A5"/>
    <w:rsid w:val="00DB447A"/>
    <w:rsid w:val="00DB45A9"/>
    <w:rsid w:val="00DB4D96"/>
    <w:rsid w:val="00DC15DF"/>
    <w:rsid w:val="00DC20D5"/>
    <w:rsid w:val="00DC2BBD"/>
    <w:rsid w:val="00DC6638"/>
    <w:rsid w:val="00DD1C0B"/>
    <w:rsid w:val="00DD6295"/>
    <w:rsid w:val="00DE0E8D"/>
    <w:rsid w:val="00DE4B0B"/>
    <w:rsid w:val="00DE5BA7"/>
    <w:rsid w:val="00DE6532"/>
    <w:rsid w:val="00DF2887"/>
    <w:rsid w:val="00DF2F42"/>
    <w:rsid w:val="00DF3A58"/>
    <w:rsid w:val="00DF414A"/>
    <w:rsid w:val="00DF61A9"/>
    <w:rsid w:val="00E02E80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D72"/>
    <w:rsid w:val="00E20F8D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3781"/>
    <w:rsid w:val="00E5421D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9C0"/>
    <w:rsid w:val="00E76C00"/>
    <w:rsid w:val="00E815A6"/>
    <w:rsid w:val="00E825A1"/>
    <w:rsid w:val="00E83167"/>
    <w:rsid w:val="00E857BB"/>
    <w:rsid w:val="00E868CA"/>
    <w:rsid w:val="00E9206B"/>
    <w:rsid w:val="00E93667"/>
    <w:rsid w:val="00E944B2"/>
    <w:rsid w:val="00E96804"/>
    <w:rsid w:val="00EA18D1"/>
    <w:rsid w:val="00EA29A0"/>
    <w:rsid w:val="00EA2C87"/>
    <w:rsid w:val="00EA364B"/>
    <w:rsid w:val="00EA6DEA"/>
    <w:rsid w:val="00EA7D5B"/>
    <w:rsid w:val="00EB6131"/>
    <w:rsid w:val="00EC1553"/>
    <w:rsid w:val="00EC6465"/>
    <w:rsid w:val="00EC6DD1"/>
    <w:rsid w:val="00ED0188"/>
    <w:rsid w:val="00ED0395"/>
    <w:rsid w:val="00ED1C9E"/>
    <w:rsid w:val="00ED625D"/>
    <w:rsid w:val="00EE0F70"/>
    <w:rsid w:val="00EE1412"/>
    <w:rsid w:val="00EE145D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E7FAD"/>
    <w:rsid w:val="00EF3CEC"/>
    <w:rsid w:val="00EF5AB4"/>
    <w:rsid w:val="00EF5D4D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367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5CF"/>
    <w:rsid w:val="00F92DA9"/>
    <w:rsid w:val="00F93C54"/>
    <w:rsid w:val="00F951A0"/>
    <w:rsid w:val="00F95212"/>
    <w:rsid w:val="00FB0E51"/>
    <w:rsid w:val="00FB22E3"/>
    <w:rsid w:val="00FB2E05"/>
    <w:rsid w:val="00FB2FB5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35E0"/>
    <w:rsid w:val="00FE4E78"/>
    <w:rsid w:val="00FE66BC"/>
    <w:rsid w:val="00FF0629"/>
    <w:rsid w:val="00FF28E9"/>
    <w:rsid w:val="00FF2CD4"/>
    <w:rsid w:val="00FF36FB"/>
    <w:rsid w:val="00FF5797"/>
    <w:rsid w:val="00FF6A09"/>
    <w:rsid w:val="00FF6B8F"/>
    <w:rsid w:val="00FF7434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548ED58A-D17E-40F4-BD18-CDFDC2F9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D85B-5292-4A73-B3AC-733E4B1FF33F}">
  <ds:schemaRefs>
    <ds:schemaRef ds:uri="cadce026-d35b-4a62-a2ee-1436bb44fb55"/>
    <ds:schemaRef ds:uri="http://purl.org/dc/elements/1.1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97b6fe81-1556-4112-94ca-31043ca39b7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64DDD-54D4-4AA1-8C3A-ED7126536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3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Catia Gomes (ESO)</cp:lastModifiedBy>
  <cp:revision>4</cp:revision>
  <cp:lastPrinted>2020-02-07T05:28:00Z</cp:lastPrinted>
  <dcterms:created xsi:type="dcterms:W3CDTF">2024-09-17T15:49:00Z</dcterms:created>
  <dcterms:modified xsi:type="dcterms:W3CDTF">2024-09-18T08:33:00Z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0x0101009F8CA9C19BC094409188BB7813D94336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GrammarlyDocumentId">
    <vt:lpwstr>f5ec355174c016cd7cc2c9632db76956dc55c45f42f98072a40aa2d2d8342de6</vt:lpwstr>
  </property>
</Properties>
</file>