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EE54D4" w:rsidRPr="00EB32BB" w14:paraId="5EEB46CC" w14:textId="77777777" w:rsidTr="00F925CF">
        <w:trPr>
          <w:trHeight w:val="826"/>
        </w:trPr>
        <w:tc>
          <w:tcPr>
            <w:tcW w:w="10070" w:type="dxa"/>
            <w:shd w:val="clear" w:color="auto" w:fill="F26522" w:themeFill="accent1"/>
          </w:tcPr>
          <w:p w14:paraId="137A8920" w14:textId="357D6C77" w:rsidR="00EE54D4" w:rsidRPr="00EB32BB" w:rsidRDefault="00EE54D4" w:rsidP="00F925CF">
            <w:pPr>
              <w:pStyle w:val="BlockText"/>
              <w:spacing w:before="0" w:after="0" w:line="240" w:lineRule="auto"/>
              <w:rPr>
                <w:rFonts w:cs="Arial"/>
                <w:sz w:val="20"/>
                <w:szCs w:val="20"/>
              </w:rPr>
            </w:pPr>
            <w:r>
              <w:rPr>
                <w:rFonts w:cs="Arial"/>
                <w:b/>
                <w:sz w:val="28"/>
                <w:szCs w:val="28"/>
              </w:rPr>
              <w:t>CUSC Alternative Form</w:t>
            </w:r>
            <w:r w:rsidR="00175B87">
              <w:rPr>
                <w:rFonts w:cs="Arial"/>
                <w:b/>
                <w:sz w:val="28"/>
                <w:szCs w:val="28"/>
              </w:rPr>
              <w:t xml:space="preserve"> – </w:t>
            </w:r>
            <w:proofErr w:type="gramStart"/>
            <w:r w:rsidR="00175B87">
              <w:rPr>
                <w:rFonts w:cs="Arial"/>
                <w:b/>
                <w:sz w:val="28"/>
                <w:szCs w:val="28"/>
              </w:rPr>
              <w:t>Non Charging</w:t>
            </w:r>
            <w:proofErr w:type="gramEnd"/>
            <w:r w:rsidR="00175B87">
              <w:rPr>
                <w:rFonts w:cs="Arial"/>
                <w:b/>
                <w:sz w:val="28"/>
                <w:szCs w:val="28"/>
              </w:rPr>
              <w:t xml:space="preserve"> </w:t>
            </w:r>
          </w:p>
        </w:tc>
      </w:tr>
      <w:tr w:rsidR="005C2D1D" w:rsidRPr="00EB32BB" w14:paraId="18ACFA02" w14:textId="77777777" w:rsidTr="00F925CF">
        <w:trPr>
          <w:trHeight w:val="2438"/>
        </w:trPr>
        <w:tc>
          <w:tcPr>
            <w:tcW w:w="10070" w:type="dxa"/>
            <w:shd w:val="clear" w:color="auto" w:fill="auto"/>
          </w:tcPr>
          <w:p w14:paraId="04D2B5D0" w14:textId="0F742825" w:rsidR="005C2D1D" w:rsidRPr="00295110" w:rsidRDefault="005C2D1D" w:rsidP="00F925CF">
            <w:pPr>
              <w:spacing w:before="0" w:after="0"/>
              <w:rPr>
                <w:rFonts w:cs="Arial"/>
                <w:b/>
                <w:color w:val="F26522" w:themeColor="accent1"/>
                <w:sz w:val="56"/>
                <w:szCs w:val="56"/>
              </w:rPr>
            </w:pPr>
            <w:bookmarkStart w:id="0" w:name="_Hlk31877162"/>
            <w:r>
              <w:rPr>
                <w:rFonts w:cs="Arial"/>
                <w:b/>
                <w:color w:val="F26522" w:themeColor="accent1"/>
                <w:sz w:val="56"/>
                <w:szCs w:val="56"/>
              </w:rPr>
              <w:t>CMP</w:t>
            </w:r>
            <w:r w:rsidR="00EE1412">
              <w:rPr>
                <w:rFonts w:cs="Arial"/>
                <w:b/>
                <w:color w:val="F26522" w:themeColor="accent1"/>
                <w:sz w:val="56"/>
                <w:szCs w:val="56"/>
              </w:rPr>
              <w:t>43</w:t>
            </w:r>
            <w:r w:rsidR="009A54D0">
              <w:rPr>
                <w:rFonts w:cs="Arial"/>
                <w:b/>
                <w:color w:val="F26522" w:themeColor="accent1"/>
                <w:sz w:val="56"/>
                <w:szCs w:val="56"/>
              </w:rPr>
              <w:t>5</w:t>
            </w:r>
            <w:r w:rsidR="00303CCE">
              <w:rPr>
                <w:rFonts w:cs="Arial"/>
                <w:b/>
                <w:color w:val="F26522" w:themeColor="accent1"/>
                <w:sz w:val="56"/>
                <w:szCs w:val="56"/>
              </w:rPr>
              <w:t xml:space="preserve"> Alternative</w:t>
            </w:r>
            <w:r w:rsidR="00292AF3">
              <w:rPr>
                <w:rFonts w:cs="Arial"/>
                <w:b/>
                <w:color w:val="F26522" w:themeColor="accent1"/>
                <w:sz w:val="56"/>
                <w:szCs w:val="56"/>
              </w:rPr>
              <w:t xml:space="preserve"> Request</w:t>
            </w:r>
            <w:r w:rsidR="00B13FAC">
              <w:rPr>
                <w:rFonts w:cs="Arial"/>
                <w:b/>
                <w:color w:val="F26522" w:themeColor="accent1"/>
                <w:sz w:val="56"/>
                <w:szCs w:val="56"/>
              </w:rPr>
              <w:t xml:space="preserve"> </w:t>
            </w:r>
            <w:r w:rsidR="008773F3">
              <w:rPr>
                <w:rFonts w:cs="Arial"/>
                <w:b/>
                <w:color w:val="F26522" w:themeColor="accent1"/>
                <w:sz w:val="56"/>
                <w:szCs w:val="56"/>
              </w:rPr>
              <w:t>2</w:t>
            </w:r>
            <w:r w:rsidRPr="00295110">
              <w:rPr>
                <w:rFonts w:cs="Arial"/>
                <w:b/>
                <w:color w:val="F26522" w:themeColor="accent1"/>
                <w:sz w:val="56"/>
                <w:szCs w:val="56"/>
              </w:rPr>
              <w:t>:</w:t>
            </w:r>
            <w:r w:rsidR="004826CB">
              <w:rPr>
                <w:rFonts w:cs="Arial"/>
                <w:b/>
                <w:color w:val="F26522" w:themeColor="accent1"/>
                <w:sz w:val="56"/>
                <w:szCs w:val="56"/>
              </w:rPr>
              <w:t xml:space="preserve"> Making contractual changes following the same process as CMP376</w:t>
            </w:r>
            <w:r w:rsidR="00280F37">
              <w:rPr>
                <w:rFonts w:cs="Arial"/>
                <w:b/>
                <w:color w:val="F26522" w:themeColor="accent1"/>
                <w:sz w:val="56"/>
                <w:szCs w:val="56"/>
              </w:rPr>
              <w:t xml:space="preserve"> (i.e. Agreements to Vary).</w:t>
            </w:r>
            <w:r w:rsidR="004826CB">
              <w:rPr>
                <w:rFonts w:cs="Arial"/>
                <w:b/>
                <w:color w:val="F26522" w:themeColor="accent1"/>
                <w:sz w:val="56"/>
                <w:szCs w:val="56"/>
              </w:rPr>
              <w:t xml:space="preserve"> </w:t>
            </w:r>
          </w:p>
          <w:bookmarkEnd w:id="0"/>
          <w:p w14:paraId="35ABBE36" w14:textId="7283246D" w:rsidR="005C2D1D" w:rsidRPr="00A6159E" w:rsidRDefault="005C2D1D" w:rsidP="00D64A20">
            <w:pPr>
              <w:spacing w:before="0" w:after="240"/>
              <w:rPr>
                <w:rFonts w:cs="Arial"/>
                <w:b/>
                <w:color w:val="F26522" w:themeColor="accent1"/>
                <w:sz w:val="24"/>
                <w:szCs w:val="20"/>
              </w:rPr>
            </w:pPr>
          </w:p>
        </w:tc>
      </w:tr>
      <w:tr w:rsidR="00DB447A" w:rsidRPr="00EB32BB" w14:paraId="76F94904" w14:textId="77777777" w:rsidTr="00164E49">
        <w:trPr>
          <w:trHeight w:val="817"/>
        </w:trPr>
        <w:tc>
          <w:tcPr>
            <w:tcW w:w="10070" w:type="dxa"/>
            <w:shd w:val="clear" w:color="auto" w:fill="auto"/>
          </w:tcPr>
          <w:p w14:paraId="5DF98E23" w14:textId="77777777" w:rsidR="00DB447A" w:rsidRDefault="00D44E46" w:rsidP="00F925CF">
            <w:pPr>
              <w:pStyle w:val="BodyText2"/>
              <w:spacing w:before="0" w:after="0"/>
              <w:rPr>
                <w:rFonts w:cs="Arial"/>
                <w:sz w:val="24"/>
              </w:rPr>
            </w:pPr>
            <w:r>
              <w:rPr>
                <w:rFonts w:cs="Arial"/>
                <w:b/>
                <w:bCs/>
                <w:sz w:val="24"/>
              </w:rPr>
              <w:t>Overview</w:t>
            </w:r>
            <w:r w:rsidR="00DB447A" w:rsidRPr="6DC9E538">
              <w:rPr>
                <w:rFonts w:cs="Arial"/>
                <w:b/>
                <w:bCs/>
                <w:sz w:val="24"/>
              </w:rPr>
              <w:t>:</w:t>
            </w:r>
            <w:r w:rsidR="00BD0AB5" w:rsidRPr="006634D7">
              <w:rPr>
                <w:rFonts w:cs="Arial"/>
                <w:sz w:val="24"/>
              </w:rPr>
              <w:t xml:space="preserve"> </w:t>
            </w:r>
          </w:p>
          <w:p w14:paraId="6B61CA31" w14:textId="1807360C" w:rsidR="00065E1C" w:rsidRDefault="00D92B2D" w:rsidP="004826CB">
            <w:pPr>
              <w:pStyle w:val="BodyText2"/>
              <w:rPr>
                <w:rFonts w:cs="Arial"/>
                <w:sz w:val="24"/>
              </w:rPr>
            </w:pPr>
            <w:r>
              <w:rPr>
                <w:rFonts w:cs="Arial"/>
                <w:sz w:val="24"/>
              </w:rPr>
              <w:t>This Alternative Request would require the ESO to implement changes to existing agreements via Agreements to Vary</w:t>
            </w:r>
            <w:r w:rsidR="00106D58">
              <w:rPr>
                <w:rFonts w:cs="Arial"/>
                <w:sz w:val="24"/>
              </w:rPr>
              <w:t>,</w:t>
            </w:r>
            <w:r w:rsidR="003E2F9C">
              <w:rPr>
                <w:rFonts w:cs="Arial"/>
                <w:sz w:val="24"/>
              </w:rPr>
              <w:t xml:space="preserve"> in line with </w:t>
            </w:r>
            <w:hyperlink r:id="rId11" w:history="1">
              <w:r w:rsidR="003E2F9C" w:rsidRPr="0039432C">
                <w:rPr>
                  <w:rStyle w:val="Hyperlink"/>
                  <w:rFonts w:cs="Arial"/>
                  <w:sz w:val="24"/>
                </w:rPr>
                <w:t>CMP376</w:t>
              </w:r>
            </w:hyperlink>
            <w:r w:rsidR="00032942">
              <w:rPr>
                <w:rFonts w:cs="Arial"/>
                <w:sz w:val="24"/>
              </w:rPr>
              <w:t>,</w:t>
            </w:r>
            <w:r w:rsidR="00DC51F2">
              <w:rPr>
                <w:rFonts w:cs="Arial"/>
                <w:sz w:val="24"/>
              </w:rPr>
              <w:t xml:space="preserve"> rather than legal text changes</w:t>
            </w:r>
            <w:r w:rsidR="00032942">
              <w:rPr>
                <w:rFonts w:cs="Arial"/>
                <w:sz w:val="24"/>
              </w:rPr>
              <w:t xml:space="preserve"> to the CUSC</w:t>
            </w:r>
            <w:r w:rsidR="00DC51F2">
              <w:rPr>
                <w:rFonts w:cs="Arial"/>
                <w:sz w:val="24"/>
              </w:rPr>
              <w:t xml:space="preserve"> proposed in Element 19</w:t>
            </w:r>
            <w:r w:rsidR="00032942">
              <w:rPr>
                <w:rFonts w:cs="Arial"/>
                <w:sz w:val="24"/>
              </w:rPr>
              <w:t xml:space="preserve"> of the Original.</w:t>
            </w:r>
          </w:p>
          <w:p w14:paraId="3EFFD0C7" w14:textId="4560DD82" w:rsidR="001450BF" w:rsidRPr="001450BF" w:rsidRDefault="001450BF" w:rsidP="001450BF">
            <w:pPr>
              <w:pStyle w:val="BodyText2"/>
              <w:rPr>
                <w:rFonts w:cs="Arial"/>
                <w:sz w:val="24"/>
              </w:rPr>
            </w:pPr>
          </w:p>
        </w:tc>
      </w:tr>
      <w:tr w:rsidR="00DF3A58" w:rsidRPr="00EB32BB" w14:paraId="44B10B38" w14:textId="77777777" w:rsidTr="00164E49">
        <w:trPr>
          <w:trHeight w:val="575"/>
        </w:trPr>
        <w:tc>
          <w:tcPr>
            <w:tcW w:w="10070" w:type="dxa"/>
            <w:shd w:val="clear" w:color="auto" w:fill="auto"/>
          </w:tcPr>
          <w:p w14:paraId="289C849C" w14:textId="4BBFB174" w:rsidR="00DF3A58" w:rsidRDefault="00343B5F" w:rsidP="00F925CF">
            <w:pPr>
              <w:pStyle w:val="BodyText2"/>
              <w:spacing w:before="0" w:after="0"/>
              <w:rPr>
                <w:rFonts w:cs="Arial"/>
                <w:sz w:val="24"/>
              </w:rPr>
            </w:pPr>
            <w:r>
              <w:rPr>
                <w:rFonts w:cs="Arial"/>
                <w:b/>
                <w:bCs/>
                <w:sz w:val="24"/>
              </w:rPr>
              <w:t>Proposer</w:t>
            </w:r>
            <w:r w:rsidRPr="6DC9E538">
              <w:rPr>
                <w:rFonts w:cs="Arial"/>
                <w:b/>
                <w:bCs/>
                <w:sz w:val="24"/>
              </w:rPr>
              <w:t>:</w:t>
            </w:r>
            <w:r w:rsidRPr="006634D7">
              <w:rPr>
                <w:rFonts w:cs="Arial"/>
                <w:sz w:val="24"/>
              </w:rPr>
              <w:t xml:space="preserve"> </w:t>
            </w:r>
            <w:r w:rsidR="001450BF">
              <w:rPr>
                <w:rFonts w:cs="Arial"/>
                <w:sz w:val="24"/>
              </w:rPr>
              <w:t>Ed Birkett, Low Carbon</w:t>
            </w:r>
          </w:p>
          <w:p w14:paraId="3CAFF0AE" w14:textId="2F609E0F" w:rsidR="00E23927" w:rsidRDefault="00E23927" w:rsidP="00F925CF">
            <w:pPr>
              <w:pStyle w:val="BodyText2"/>
              <w:spacing w:before="0" w:after="0"/>
              <w:rPr>
                <w:rFonts w:cs="Arial"/>
                <w:b/>
                <w:bCs/>
                <w:sz w:val="24"/>
              </w:rPr>
            </w:pPr>
          </w:p>
        </w:tc>
      </w:tr>
      <w:tr w:rsidR="00A471BF" w:rsidRPr="00EB32BB" w14:paraId="00618026" w14:textId="77777777" w:rsidTr="00164E49">
        <w:trPr>
          <w:trHeight w:val="575"/>
        </w:trPr>
        <w:tc>
          <w:tcPr>
            <w:tcW w:w="10070" w:type="dxa"/>
            <w:shd w:val="clear" w:color="auto" w:fill="auto"/>
          </w:tcPr>
          <w:p w14:paraId="4591AB32" w14:textId="021B9FF8" w:rsidR="00A471BF" w:rsidRPr="00DB45A9" w:rsidRDefault="0039432C" w:rsidP="00F925CF">
            <w:pPr>
              <w:pStyle w:val="BodyText2"/>
              <w:spacing w:before="0" w:after="0"/>
              <w:rPr>
                <w:rFonts w:cs="Arial"/>
                <w:sz w:val="24"/>
              </w:rPr>
            </w:pPr>
            <w:sdt>
              <w:sdtPr>
                <w:id w:val="-99870426"/>
                <w14:checkbox>
                  <w14:checked w14:val="1"/>
                  <w14:checkedState w14:val="2612" w14:font="MS Gothic"/>
                  <w14:uncheckedState w14:val="2610" w14:font="MS Gothic"/>
                </w14:checkbox>
              </w:sdtPr>
              <w:sdtEndPr/>
              <w:sdtContent>
                <w:r w:rsidR="001450BF">
                  <w:rPr>
                    <w:rFonts w:ascii="MS Gothic" w:eastAsia="MS Gothic" w:hAnsi="MS Gothic" w:hint="eastAsia"/>
                  </w:rPr>
                  <w:t>☒</w:t>
                </w:r>
              </w:sdtContent>
            </w:sdt>
            <w:r w:rsidR="00B55059">
              <w:t xml:space="preserve"> </w:t>
            </w:r>
            <w:r w:rsidR="00DB45A9" w:rsidRPr="00DB45A9">
              <w:rPr>
                <w:rFonts w:cs="Arial"/>
                <w:sz w:val="24"/>
              </w:rPr>
              <w:t xml:space="preserve">I/We confirm that </w:t>
            </w:r>
            <w:r w:rsidR="00B55059">
              <w:rPr>
                <w:rFonts w:cs="Arial"/>
                <w:sz w:val="24"/>
              </w:rPr>
              <w:t xml:space="preserve">this Alternative Request </w:t>
            </w:r>
            <w:r w:rsidR="006514F6">
              <w:rPr>
                <w:rFonts w:cs="Arial"/>
                <w:sz w:val="24"/>
              </w:rPr>
              <w:t xml:space="preserve">proposes to </w:t>
            </w:r>
            <w:r w:rsidR="00B3294B" w:rsidRPr="00B3294B">
              <w:rPr>
                <w:rFonts w:cs="Arial"/>
                <w:sz w:val="24"/>
              </w:rPr>
              <w:t xml:space="preserve">modify </w:t>
            </w:r>
            <w:r w:rsidR="00B3294B">
              <w:rPr>
                <w:rFonts w:cs="Arial"/>
                <w:sz w:val="24"/>
              </w:rPr>
              <w:t xml:space="preserve">the </w:t>
            </w:r>
            <w:r w:rsidR="00FF0629">
              <w:rPr>
                <w:rFonts w:cs="Arial"/>
                <w:sz w:val="24"/>
              </w:rPr>
              <w:t xml:space="preserve">non - </w:t>
            </w:r>
            <w:r w:rsidR="00DF61A9">
              <w:rPr>
                <w:rFonts w:cs="Arial"/>
                <w:sz w:val="24"/>
              </w:rPr>
              <w:t>charging section of the CUSC only</w:t>
            </w:r>
          </w:p>
        </w:tc>
      </w:tr>
    </w:tbl>
    <w:p w14:paraId="0E57795D" w14:textId="77777777" w:rsidR="00DB4D96" w:rsidRDefault="00DB4D96">
      <w:pPr>
        <w:spacing w:before="0" w:after="160" w:line="259" w:lineRule="auto"/>
        <w:rPr>
          <w:rFonts w:cs="Arial"/>
          <w:b/>
          <w:bCs/>
          <w:color w:val="FFFFFF" w:themeColor="background1"/>
          <w:kern w:val="32"/>
          <w:sz w:val="28"/>
          <w:szCs w:val="32"/>
        </w:rPr>
      </w:pPr>
      <w:r>
        <w:br w:type="page"/>
      </w:r>
    </w:p>
    <w:p w14:paraId="78F02DF2" w14:textId="29A434A7" w:rsidR="00625705" w:rsidRPr="00976D98" w:rsidRDefault="00625705" w:rsidP="00976D98">
      <w:pPr>
        <w:pStyle w:val="Style3"/>
      </w:pPr>
      <w:r w:rsidRPr="00E93667">
        <w:lastRenderedPageBreak/>
        <w:t xml:space="preserve">What is the </w:t>
      </w:r>
      <w:r w:rsidR="00250A22">
        <w:t>prop</w:t>
      </w:r>
      <w:r w:rsidR="002A07AF">
        <w:t>osed alternative</w:t>
      </w:r>
      <w:r w:rsidR="00007585">
        <w:t xml:space="preserve"> </w:t>
      </w:r>
      <w:r w:rsidRPr="00E93667">
        <w:t>solution?</w:t>
      </w:r>
    </w:p>
    <w:p w14:paraId="64AED270" w14:textId="289D50EF" w:rsidR="001450BF" w:rsidRDefault="00280F37" w:rsidP="001450BF">
      <w:pPr>
        <w:pStyle w:val="BodyText2"/>
        <w:framePr w:hSpace="180" w:wrap="around" w:vAnchor="page" w:hAnchor="page" w:x="775" w:y="1474"/>
        <w:rPr>
          <w:rFonts w:cs="Arial"/>
          <w:sz w:val="24"/>
        </w:rPr>
      </w:pPr>
      <w:r>
        <w:rPr>
          <w:rFonts w:cs="Arial"/>
          <w:sz w:val="24"/>
        </w:rPr>
        <w:t>Following the approval of</w:t>
      </w:r>
      <w:r w:rsidR="001450BF">
        <w:rPr>
          <w:rFonts w:cs="Arial"/>
          <w:sz w:val="24"/>
        </w:rPr>
        <w:t xml:space="preserve"> </w:t>
      </w:r>
      <w:hyperlink r:id="rId12" w:history="1">
        <w:r w:rsidR="001450BF" w:rsidRPr="00280F37">
          <w:rPr>
            <w:rStyle w:val="Hyperlink"/>
            <w:rFonts w:cs="Arial"/>
            <w:sz w:val="24"/>
          </w:rPr>
          <w:t>CMP376</w:t>
        </w:r>
      </w:hyperlink>
      <w:r w:rsidR="001450BF">
        <w:rPr>
          <w:rFonts w:cs="Arial"/>
          <w:sz w:val="24"/>
        </w:rPr>
        <w:t xml:space="preserve"> (</w:t>
      </w:r>
      <w:r w:rsidR="001450BF" w:rsidRPr="004826CB">
        <w:rPr>
          <w:rFonts w:cs="Arial"/>
          <w:sz w:val="24"/>
        </w:rPr>
        <w:t>Inclusion of Queue Management process within the CUSC</w:t>
      </w:r>
      <w:r w:rsidR="001450BF">
        <w:rPr>
          <w:rFonts w:cs="Arial"/>
          <w:sz w:val="24"/>
        </w:rPr>
        <w:t>), the ESO is inserting / has inserted Queue Management Milestones into existing agreements by issuing Agreements to Vary (ATVs) to customers, unless that customer had submitted a Modification Application within a defined period.</w:t>
      </w:r>
    </w:p>
    <w:p w14:paraId="21CBFE5D" w14:textId="77777777" w:rsidR="001450BF" w:rsidRDefault="0039432C" w:rsidP="001450BF">
      <w:pPr>
        <w:pStyle w:val="BodyText2"/>
        <w:framePr w:hSpace="180" w:wrap="around" w:vAnchor="page" w:hAnchor="page" w:x="775" w:y="1474"/>
        <w:rPr>
          <w:rFonts w:cs="Arial"/>
          <w:sz w:val="24"/>
        </w:rPr>
      </w:pPr>
      <w:hyperlink r:id="rId13" w:history="1">
        <w:r w:rsidR="001450BF" w:rsidRPr="004826CB">
          <w:rPr>
            <w:rStyle w:val="Hyperlink"/>
            <w:rFonts w:cs="Arial"/>
            <w:sz w:val="24"/>
          </w:rPr>
          <w:t>Ofgem’s Decision Lette</w:t>
        </w:r>
        <w:r w:rsidR="001450BF">
          <w:rPr>
            <w:rStyle w:val="Hyperlink"/>
            <w:rFonts w:cs="Arial"/>
            <w:sz w:val="24"/>
          </w:rPr>
          <w:t>r on CMP376</w:t>
        </w:r>
      </w:hyperlink>
      <w:r w:rsidR="001450BF">
        <w:rPr>
          <w:rFonts w:cs="Arial"/>
          <w:sz w:val="24"/>
        </w:rPr>
        <w:t xml:space="preserve"> explains that, by using the ATV mechanism, the ESO would be </w:t>
      </w:r>
      <w:r w:rsidR="001450BF" w:rsidRPr="004826CB">
        <w:rPr>
          <w:rFonts w:cs="Arial"/>
          <w:i/>
          <w:iCs/>
          <w:sz w:val="24"/>
        </w:rPr>
        <w:t>“invoking clause 15.2 of the User’s Construction Agreement to effect the insertion of Queue Management provisions as required by the amendments to the CUSC”.</w:t>
      </w:r>
    </w:p>
    <w:p w14:paraId="29E9E9F0" w14:textId="77777777" w:rsidR="001450BF" w:rsidRDefault="001450BF" w:rsidP="001450BF">
      <w:pPr>
        <w:pStyle w:val="BodyText2"/>
        <w:framePr w:hSpace="180" w:wrap="around" w:vAnchor="page" w:hAnchor="page" w:x="775" w:y="1474"/>
        <w:rPr>
          <w:rFonts w:cs="Arial"/>
          <w:sz w:val="24"/>
        </w:rPr>
      </w:pPr>
      <w:r>
        <w:rPr>
          <w:rFonts w:cs="Arial"/>
          <w:sz w:val="24"/>
        </w:rPr>
        <w:t xml:space="preserve">In this proposal (Element 19), the ESO proposes that the meaning of contracts will be changed </w:t>
      </w:r>
      <w:r w:rsidRPr="001450BF">
        <w:rPr>
          <w:rFonts w:cs="Arial"/>
          <w:i/>
          <w:iCs/>
          <w:sz w:val="24"/>
        </w:rPr>
        <w:t>“through legal text introduced into the CUSC to amend such agreements rather than, for example, the ‘Agreement to Vary’ process</w:t>
      </w:r>
      <w:r>
        <w:rPr>
          <w:rFonts w:cs="Arial"/>
          <w:i/>
          <w:iCs/>
          <w:sz w:val="24"/>
        </w:rPr>
        <w:t xml:space="preserve">” </w:t>
      </w:r>
      <w:r w:rsidRPr="001450BF">
        <w:rPr>
          <w:rFonts w:cs="Arial"/>
          <w:sz w:val="24"/>
        </w:rPr>
        <w:t>(page 26)</w:t>
      </w:r>
      <w:r>
        <w:rPr>
          <w:rFonts w:cs="Arial"/>
          <w:sz w:val="24"/>
        </w:rPr>
        <w:t xml:space="preserve">. </w:t>
      </w:r>
    </w:p>
    <w:p w14:paraId="0DC05FDA" w14:textId="5DF254FC" w:rsidR="001450BF" w:rsidRDefault="001450BF" w:rsidP="001450BF">
      <w:pPr>
        <w:pStyle w:val="BodyText2"/>
        <w:framePr w:hSpace="180" w:wrap="around" w:vAnchor="page" w:hAnchor="page" w:x="775" w:y="1474"/>
        <w:rPr>
          <w:rFonts w:cs="Arial"/>
          <w:sz w:val="24"/>
        </w:rPr>
      </w:pPr>
      <w:r>
        <w:rPr>
          <w:rFonts w:cs="Arial"/>
          <w:sz w:val="24"/>
        </w:rPr>
        <w:t xml:space="preserve">The Proposer states that the different approach in this proposal is because </w:t>
      </w:r>
      <w:r w:rsidRPr="001450BF">
        <w:rPr>
          <w:rFonts w:cs="Arial"/>
          <w:i/>
          <w:iCs/>
          <w:sz w:val="24"/>
        </w:rPr>
        <w:t xml:space="preserve">“under </w:t>
      </w:r>
      <w:hyperlink r:id="rId14" w:history="1">
        <w:r w:rsidRPr="0039432C">
          <w:rPr>
            <w:rStyle w:val="Hyperlink"/>
            <w:rFonts w:cs="Arial"/>
            <w:i/>
            <w:iCs/>
            <w:sz w:val="24"/>
          </w:rPr>
          <w:t>CMP376</w:t>
        </w:r>
      </w:hyperlink>
      <w:r w:rsidRPr="001450BF">
        <w:rPr>
          <w:rFonts w:cs="Arial"/>
          <w:i/>
          <w:iCs/>
          <w:sz w:val="24"/>
        </w:rPr>
        <w:t xml:space="preserve">, the changes were not generic and required that a bespoke Appendix Q had to also be issued to the impacted parties, requiring an Agreement to Vary to introduce this, but do not foresee the need for any bespoke changes to be issued bilaterally under </w:t>
      </w:r>
      <w:hyperlink r:id="rId15" w:history="1">
        <w:r w:rsidRPr="0039432C">
          <w:rPr>
            <w:rStyle w:val="Hyperlink"/>
            <w:rFonts w:cs="Arial"/>
            <w:i/>
            <w:iCs/>
            <w:sz w:val="24"/>
          </w:rPr>
          <w:t>CMP435</w:t>
        </w:r>
      </w:hyperlink>
      <w:r w:rsidRPr="001450BF">
        <w:rPr>
          <w:rFonts w:cs="Arial"/>
          <w:i/>
          <w:iCs/>
          <w:sz w:val="24"/>
        </w:rPr>
        <w:t xml:space="preserve">.” </w:t>
      </w:r>
      <w:r>
        <w:rPr>
          <w:rFonts w:cs="Arial"/>
          <w:sz w:val="24"/>
        </w:rPr>
        <w:t>(</w:t>
      </w:r>
      <w:proofErr w:type="gramStart"/>
      <w:r>
        <w:rPr>
          <w:rFonts w:cs="Arial"/>
          <w:sz w:val="24"/>
        </w:rPr>
        <w:t>page</w:t>
      </w:r>
      <w:proofErr w:type="gramEnd"/>
      <w:r>
        <w:rPr>
          <w:rFonts w:cs="Arial"/>
          <w:sz w:val="24"/>
        </w:rPr>
        <w:t xml:space="preserve"> 45).</w:t>
      </w:r>
    </w:p>
    <w:p w14:paraId="2829E27F" w14:textId="087FEDA3" w:rsidR="001450BF" w:rsidRDefault="001450BF" w:rsidP="001450BF">
      <w:pPr>
        <w:pStyle w:val="BodyText2"/>
        <w:framePr w:hSpace="180" w:wrap="around" w:vAnchor="page" w:hAnchor="page" w:x="775" w:y="1474"/>
        <w:rPr>
          <w:rFonts w:cs="Arial"/>
          <w:sz w:val="24"/>
        </w:rPr>
      </w:pPr>
      <w:r>
        <w:rPr>
          <w:rFonts w:cs="Arial"/>
          <w:sz w:val="24"/>
        </w:rPr>
        <w:t xml:space="preserve">We do not agree with the ESO’s statement that no bespoke changes are needed under </w:t>
      </w:r>
      <w:hyperlink r:id="rId16" w:history="1">
        <w:r w:rsidRPr="0039432C">
          <w:rPr>
            <w:rStyle w:val="Hyperlink"/>
            <w:rFonts w:cs="Arial"/>
            <w:sz w:val="24"/>
          </w:rPr>
          <w:t>CMP435</w:t>
        </w:r>
      </w:hyperlink>
      <w:r>
        <w:rPr>
          <w:rFonts w:cs="Arial"/>
          <w:sz w:val="24"/>
        </w:rPr>
        <w:t xml:space="preserve">. We believe that </w:t>
      </w:r>
      <w:hyperlink r:id="rId17" w:history="1">
        <w:r w:rsidRPr="0039432C">
          <w:rPr>
            <w:rStyle w:val="Hyperlink"/>
            <w:rFonts w:cs="Arial"/>
            <w:sz w:val="24"/>
          </w:rPr>
          <w:t>CMP435</w:t>
        </w:r>
      </w:hyperlink>
      <w:r>
        <w:rPr>
          <w:rFonts w:cs="Arial"/>
          <w:sz w:val="24"/>
        </w:rPr>
        <w:t xml:space="preserve"> requires the following bespoke changes:</w:t>
      </w:r>
    </w:p>
    <w:p w14:paraId="69E2F3BB" w14:textId="77777777" w:rsidR="001450BF" w:rsidRDefault="001450BF" w:rsidP="001450BF">
      <w:pPr>
        <w:pStyle w:val="BodyText2"/>
        <w:framePr w:hSpace="180" w:wrap="around" w:vAnchor="page" w:hAnchor="page" w:x="775" w:y="1474"/>
        <w:numPr>
          <w:ilvl w:val="0"/>
          <w:numId w:val="48"/>
        </w:numPr>
        <w:rPr>
          <w:rFonts w:cs="Arial"/>
          <w:sz w:val="24"/>
        </w:rPr>
      </w:pPr>
      <w:r>
        <w:rPr>
          <w:rFonts w:cs="Arial"/>
          <w:sz w:val="24"/>
        </w:rPr>
        <w:t>Converting the existing connection offer into either a Gate 1 Offer or a Gate 2 Offer (a subset of projects will be converted into each type of offer); and</w:t>
      </w:r>
    </w:p>
    <w:p w14:paraId="42AD45B8" w14:textId="77777777" w:rsidR="001450BF" w:rsidRDefault="001450BF" w:rsidP="001450BF">
      <w:pPr>
        <w:pStyle w:val="BodyText2"/>
        <w:framePr w:hSpace="180" w:wrap="around" w:vAnchor="page" w:hAnchor="page" w:x="775" w:y="1474"/>
        <w:numPr>
          <w:ilvl w:val="0"/>
          <w:numId w:val="48"/>
        </w:numPr>
        <w:rPr>
          <w:rFonts w:cs="Arial"/>
          <w:sz w:val="24"/>
        </w:rPr>
      </w:pPr>
      <w:r>
        <w:rPr>
          <w:rFonts w:cs="Arial"/>
          <w:sz w:val="24"/>
        </w:rPr>
        <w:t>Amending the date by which the User must meet the M1 Queue Management Milestone, including making this contingent on the consenting regime that the User opts for.</w:t>
      </w:r>
    </w:p>
    <w:p w14:paraId="0C587632" w14:textId="3BEE3E12" w:rsidR="001450BF" w:rsidRPr="001450BF" w:rsidRDefault="001450BF" w:rsidP="001450BF">
      <w:pPr>
        <w:pStyle w:val="BodyText2"/>
        <w:framePr w:hSpace="180" w:wrap="around" w:vAnchor="page" w:hAnchor="page" w:x="775" w:y="1474"/>
        <w:rPr>
          <w:rFonts w:cs="Arial"/>
          <w:sz w:val="24"/>
        </w:rPr>
      </w:pPr>
      <w:r w:rsidRPr="001450BF">
        <w:rPr>
          <w:rFonts w:cs="Arial"/>
          <w:sz w:val="24"/>
        </w:rPr>
        <w:t xml:space="preserve">We believe that the ESO’s approach in </w:t>
      </w:r>
      <w:hyperlink r:id="rId18" w:history="1">
        <w:r w:rsidRPr="0039432C">
          <w:rPr>
            <w:rStyle w:val="Hyperlink"/>
            <w:rFonts w:cs="Arial"/>
            <w:sz w:val="24"/>
          </w:rPr>
          <w:t>CMP435</w:t>
        </w:r>
      </w:hyperlink>
      <w:r w:rsidRPr="001450BF">
        <w:rPr>
          <w:rFonts w:cs="Arial"/>
          <w:sz w:val="24"/>
        </w:rPr>
        <w:t xml:space="preserve"> has two downsides:</w:t>
      </w:r>
    </w:p>
    <w:p w14:paraId="38BB012E" w14:textId="77777777" w:rsidR="001450BF" w:rsidRDefault="001450BF" w:rsidP="001450BF">
      <w:pPr>
        <w:pStyle w:val="BodyText2"/>
        <w:framePr w:hSpace="180" w:wrap="around" w:vAnchor="page" w:hAnchor="page" w:x="775" w:y="1474"/>
        <w:numPr>
          <w:ilvl w:val="0"/>
          <w:numId w:val="46"/>
        </w:numPr>
        <w:rPr>
          <w:rFonts w:cs="Arial"/>
          <w:sz w:val="24"/>
        </w:rPr>
      </w:pPr>
      <w:r>
        <w:rPr>
          <w:rFonts w:cs="Arial"/>
          <w:sz w:val="24"/>
        </w:rPr>
        <w:t>Legal risk posed from challenges by Users who did not realise that the meaning of their contracts had been fundamentally altered by this proposal; and</w:t>
      </w:r>
    </w:p>
    <w:p w14:paraId="79291135" w14:textId="77777777" w:rsidR="001450BF" w:rsidRDefault="001450BF" w:rsidP="001450BF">
      <w:pPr>
        <w:pStyle w:val="BodyText2"/>
        <w:framePr w:hSpace="180" w:wrap="around" w:vAnchor="page" w:hAnchor="page" w:x="775" w:y="1474"/>
        <w:numPr>
          <w:ilvl w:val="0"/>
          <w:numId w:val="46"/>
        </w:numPr>
        <w:rPr>
          <w:rFonts w:cs="Arial"/>
          <w:sz w:val="24"/>
        </w:rPr>
      </w:pPr>
      <w:r>
        <w:rPr>
          <w:rFonts w:cs="Arial"/>
          <w:sz w:val="24"/>
        </w:rPr>
        <w:t>An unwelcome precedent to fundamentally change the meaning of User’s connection agreements without changing the wording itself.</w:t>
      </w:r>
    </w:p>
    <w:p w14:paraId="6785478B" w14:textId="378613BE" w:rsidR="004930C4" w:rsidRDefault="001450BF" w:rsidP="001450BF">
      <w:pPr>
        <w:jc w:val="both"/>
        <w:rPr>
          <w:rFonts w:cs="Arial"/>
          <w:sz w:val="24"/>
        </w:rPr>
      </w:pPr>
      <w:r>
        <w:rPr>
          <w:rFonts w:cs="Arial"/>
          <w:sz w:val="24"/>
        </w:rPr>
        <w:t>This Alternative Request would require the ESO to implement changes to existing agreements via Agreements to Vary.</w:t>
      </w:r>
    </w:p>
    <w:p w14:paraId="2F34DEAC" w14:textId="77777777" w:rsidR="001450BF" w:rsidRDefault="001450BF" w:rsidP="001450BF">
      <w:pPr>
        <w:jc w:val="both"/>
        <w:rPr>
          <w:sz w:val="24"/>
        </w:rPr>
      </w:pPr>
    </w:p>
    <w:p w14:paraId="24E8AD05" w14:textId="43033FE2" w:rsidR="00777B44" w:rsidRPr="00313B1D" w:rsidRDefault="00777B44" w:rsidP="00E4032A">
      <w:pPr>
        <w:pStyle w:val="Style3"/>
      </w:pPr>
      <w:r w:rsidRPr="00313B1D">
        <w:t>What is the difference between this and the Original Proposal?</w:t>
      </w:r>
    </w:p>
    <w:p w14:paraId="21210495" w14:textId="3C6171FD" w:rsidR="00A86BE7" w:rsidRPr="00280F37" w:rsidRDefault="001450BF" w:rsidP="00280F37">
      <w:pPr>
        <w:pStyle w:val="ListParagraph"/>
        <w:numPr>
          <w:ilvl w:val="0"/>
          <w:numId w:val="49"/>
        </w:numPr>
        <w:spacing w:before="0" w:after="0" w:line="240" w:lineRule="auto"/>
        <w:jc w:val="both"/>
        <w:textAlignment w:val="baseline"/>
        <w:rPr>
          <w:rFonts w:cs="Arial"/>
          <w:sz w:val="24"/>
        </w:rPr>
      </w:pPr>
      <w:r w:rsidRPr="00280F37">
        <w:rPr>
          <w:rFonts w:cs="Arial"/>
          <w:sz w:val="24"/>
        </w:rPr>
        <w:t>The Original Proposal would change the meaning of existing contracts by the insertion of new text into the CUSC.</w:t>
      </w:r>
    </w:p>
    <w:p w14:paraId="2D4D297E" w14:textId="137E44B4" w:rsidR="001450BF" w:rsidRDefault="001450BF" w:rsidP="00280F37">
      <w:pPr>
        <w:pStyle w:val="ListParagraph"/>
        <w:numPr>
          <w:ilvl w:val="0"/>
          <w:numId w:val="49"/>
        </w:numPr>
        <w:spacing w:before="0" w:after="0" w:line="240" w:lineRule="auto"/>
        <w:jc w:val="both"/>
        <w:textAlignment w:val="baseline"/>
        <w:rPr>
          <w:rFonts w:cs="Arial"/>
          <w:sz w:val="24"/>
        </w:rPr>
      </w:pPr>
      <w:r w:rsidRPr="00280F37">
        <w:rPr>
          <w:rFonts w:cs="Arial"/>
          <w:sz w:val="24"/>
        </w:rPr>
        <w:t>This Alternative Request would require the ESO to amend existing contracts via Agreements to Vary.</w:t>
      </w:r>
    </w:p>
    <w:p w14:paraId="1D0AA4D9" w14:textId="071E79D1" w:rsidR="00E843D0" w:rsidRDefault="00E843D0" w:rsidP="00280F37">
      <w:pPr>
        <w:pStyle w:val="ListParagraph"/>
        <w:numPr>
          <w:ilvl w:val="0"/>
          <w:numId w:val="49"/>
        </w:numPr>
        <w:spacing w:before="0" w:after="0" w:line="240" w:lineRule="auto"/>
        <w:jc w:val="both"/>
        <w:textAlignment w:val="baseline"/>
        <w:rPr>
          <w:rFonts w:cs="Arial"/>
          <w:sz w:val="24"/>
        </w:rPr>
      </w:pPr>
      <w:r>
        <w:rPr>
          <w:rFonts w:cs="Arial"/>
          <w:sz w:val="24"/>
        </w:rPr>
        <w:t>The Alternative Request would change Element 19 only, with all other Elements of the Original unchanged.</w:t>
      </w:r>
    </w:p>
    <w:p w14:paraId="2B5E2F5F" w14:textId="77777777" w:rsidR="006D0FA5" w:rsidRDefault="006D0FA5" w:rsidP="00F60A51">
      <w:pPr>
        <w:spacing w:before="0" w:after="0" w:line="240" w:lineRule="auto"/>
        <w:jc w:val="both"/>
        <w:textAlignment w:val="baseline"/>
        <w:rPr>
          <w:rFonts w:cs="Arial"/>
          <w:sz w:val="24"/>
        </w:rPr>
      </w:pPr>
    </w:p>
    <w:p w14:paraId="219D6BD7" w14:textId="77777777" w:rsidR="004930C4" w:rsidRDefault="004930C4" w:rsidP="00F60A51">
      <w:pPr>
        <w:spacing w:before="0" w:after="0" w:line="240" w:lineRule="auto"/>
        <w:jc w:val="both"/>
        <w:textAlignment w:val="baseline"/>
        <w:rPr>
          <w:rFonts w:cs="Arial"/>
          <w:sz w:val="24"/>
        </w:rPr>
      </w:pPr>
    </w:p>
    <w:p w14:paraId="450C4054" w14:textId="1323DDED" w:rsidR="00AC159B" w:rsidRPr="00280F37" w:rsidRDefault="00625705" w:rsidP="00280F37">
      <w:pPr>
        <w:pStyle w:val="Style4"/>
        <w:rPr>
          <w:color w:val="000000"/>
          <w:sz w:val="24"/>
          <w:lang w:eastAsia="en-US"/>
        </w:rPr>
      </w:pPr>
      <w:r w:rsidRPr="00663B2B">
        <w:t xml:space="preserve">What is the impact of this </w:t>
      </w:r>
      <w:r w:rsidRPr="00976D98">
        <w:t>change</w:t>
      </w:r>
      <w:r w:rsidRPr="00663B2B">
        <w:t>?</w:t>
      </w:r>
    </w:p>
    <w:tbl>
      <w:tblPr>
        <w:tblpPr w:leftFromText="180" w:rightFromText="180" w:vertAnchor="text" w:horzAnchor="margin" w:tblpY="49"/>
        <w:tblOverlap w:val="never"/>
        <w:tblW w:w="920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5098"/>
        <w:gridCol w:w="4111"/>
      </w:tblGrid>
      <w:tr w:rsidR="00AC159B" w:rsidRPr="00314414" w14:paraId="3B15CD65" w14:textId="77777777" w:rsidTr="002F61FB">
        <w:trPr>
          <w:trHeight w:hRule="exact" w:val="561"/>
        </w:trPr>
        <w:tc>
          <w:tcPr>
            <w:tcW w:w="9209" w:type="dxa"/>
            <w:gridSpan w:val="2"/>
            <w:shd w:val="clear" w:color="auto" w:fill="F26522" w:themeFill="accent1"/>
            <w:vAlign w:val="center"/>
          </w:tcPr>
          <w:p w14:paraId="020CAB57" w14:textId="3BE0FC6B" w:rsidR="00AC159B" w:rsidRPr="00314414" w:rsidRDefault="000B6ADA" w:rsidP="002F61FB">
            <w:pPr>
              <w:pStyle w:val="TableHeading"/>
              <w:rPr>
                <w:rFonts w:cs="Arial"/>
                <w:b/>
                <w:szCs w:val="20"/>
              </w:rPr>
            </w:pPr>
            <w:r w:rsidRPr="000B6ADA">
              <w:rPr>
                <w:rFonts w:cs="Arial"/>
                <w:b/>
                <w:color w:val="FFFFFF" w:themeColor="background1"/>
                <w:sz w:val="24"/>
                <w:szCs w:val="20"/>
              </w:rPr>
              <w:t>Proposer’s Assessment against C</w:t>
            </w:r>
            <w:r>
              <w:rPr>
                <w:rFonts w:cs="Arial"/>
                <w:b/>
                <w:color w:val="FFFFFF" w:themeColor="background1"/>
                <w:sz w:val="24"/>
                <w:szCs w:val="20"/>
              </w:rPr>
              <w:t>USC Non-Charging</w:t>
            </w:r>
            <w:r w:rsidRPr="000B6ADA">
              <w:rPr>
                <w:rFonts w:cs="Arial"/>
                <w:b/>
                <w:color w:val="FFFFFF" w:themeColor="background1"/>
                <w:sz w:val="24"/>
                <w:szCs w:val="20"/>
              </w:rPr>
              <w:t xml:space="preserve"> Objectives  </w:t>
            </w:r>
          </w:p>
        </w:tc>
      </w:tr>
      <w:tr w:rsidR="00AC159B" w:rsidRPr="006A726B" w14:paraId="6FDF0090" w14:textId="77777777" w:rsidTr="00280F37">
        <w:trPr>
          <w:trHeight w:val="397"/>
        </w:trPr>
        <w:tc>
          <w:tcPr>
            <w:tcW w:w="5098" w:type="dxa"/>
          </w:tcPr>
          <w:p w14:paraId="4E757CA7" w14:textId="77777777" w:rsidR="00AC159B" w:rsidRPr="006A726B" w:rsidRDefault="00AC159B" w:rsidP="002F61FB">
            <w:pPr>
              <w:ind w:left="113" w:right="113"/>
              <w:rPr>
                <w:rFonts w:cs="Arial"/>
                <w:b/>
                <w:sz w:val="24"/>
                <w:szCs w:val="20"/>
              </w:rPr>
            </w:pPr>
            <w:r w:rsidRPr="006A726B">
              <w:rPr>
                <w:b/>
                <w:sz w:val="24"/>
                <w:szCs w:val="20"/>
              </w:rPr>
              <w:t>Relevant Objective</w:t>
            </w:r>
          </w:p>
        </w:tc>
        <w:tc>
          <w:tcPr>
            <w:tcW w:w="4111" w:type="dxa"/>
          </w:tcPr>
          <w:p w14:paraId="0C3BDECC" w14:textId="77777777" w:rsidR="00AC159B" w:rsidRPr="006A726B" w:rsidRDefault="00AC159B" w:rsidP="002F61FB">
            <w:pPr>
              <w:ind w:left="113" w:right="113"/>
              <w:rPr>
                <w:b/>
                <w:sz w:val="24"/>
                <w:szCs w:val="20"/>
              </w:rPr>
            </w:pPr>
            <w:r w:rsidRPr="006A726B">
              <w:rPr>
                <w:b/>
                <w:sz w:val="24"/>
                <w:szCs w:val="20"/>
              </w:rPr>
              <w:t>Identified impact</w:t>
            </w:r>
          </w:p>
        </w:tc>
      </w:tr>
      <w:tr w:rsidR="000B6FBD" w:rsidRPr="006A726B" w14:paraId="7DB47E0B" w14:textId="77777777" w:rsidTr="00280F37">
        <w:trPr>
          <w:trHeight w:val="397"/>
        </w:trPr>
        <w:tc>
          <w:tcPr>
            <w:tcW w:w="5098" w:type="dxa"/>
          </w:tcPr>
          <w:p w14:paraId="592586F4"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t>(a)</w:t>
            </w:r>
            <w:r w:rsidRPr="00BD5234">
              <w:rPr>
                <w:rFonts w:cs="Arial"/>
                <w:color w:val="auto"/>
                <w:sz w:val="24"/>
              </w:rPr>
              <w:tab/>
              <w:t>The efficient discharge by the Licensee of the obligations imposed on it by the Act and the Transmission Licence;</w:t>
            </w:r>
          </w:p>
        </w:tc>
        <w:tc>
          <w:tcPr>
            <w:tcW w:w="4111" w:type="dxa"/>
          </w:tcPr>
          <w:p w14:paraId="0FB71530" w14:textId="3D5D8DDE" w:rsidR="001450BF" w:rsidRPr="001450BF" w:rsidRDefault="000B6FBD" w:rsidP="00280F37">
            <w:pPr>
              <w:spacing w:before="40"/>
              <w:ind w:left="113"/>
              <w:rPr>
                <w:bCs/>
                <w:sz w:val="24"/>
              </w:rPr>
            </w:pPr>
            <w:r w:rsidRPr="00ED32C9">
              <w:rPr>
                <w:b/>
                <w:sz w:val="24"/>
              </w:rPr>
              <w:t>Positive</w:t>
            </w:r>
            <w:r w:rsidR="00280F37">
              <w:rPr>
                <w:b/>
                <w:sz w:val="24"/>
              </w:rPr>
              <w:t xml:space="preserve">. </w:t>
            </w:r>
            <w:r w:rsidR="001450BF" w:rsidRPr="001450BF">
              <w:rPr>
                <w:bCs/>
                <w:sz w:val="24"/>
              </w:rPr>
              <w:t xml:space="preserve">It is </w:t>
            </w:r>
            <w:r w:rsidR="001450BF">
              <w:rPr>
                <w:bCs/>
                <w:sz w:val="24"/>
              </w:rPr>
              <w:t xml:space="preserve">more efficient for Users to be clear about what their contracts do and don’t mean. </w:t>
            </w:r>
          </w:p>
        </w:tc>
      </w:tr>
      <w:tr w:rsidR="000B6FBD" w:rsidRPr="006A726B" w14:paraId="50E6A3C0" w14:textId="77777777" w:rsidTr="00280F37">
        <w:trPr>
          <w:trHeight w:val="397"/>
        </w:trPr>
        <w:tc>
          <w:tcPr>
            <w:tcW w:w="5098" w:type="dxa"/>
          </w:tcPr>
          <w:p w14:paraId="10546143"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t>(b)</w:t>
            </w:r>
            <w:r w:rsidRPr="00BD5234">
              <w:rPr>
                <w:rFonts w:cs="Arial"/>
                <w:color w:val="auto"/>
                <w:sz w:val="24"/>
              </w:rPr>
              <w:tab/>
              <w:t xml:space="preserve">Facilitating effective competition in the generation and supply of electricity, and (so far as consistent therewith) facilitating such competition in the sale, </w:t>
            </w:r>
            <w:proofErr w:type="gramStart"/>
            <w:r w:rsidRPr="00BD5234">
              <w:rPr>
                <w:rFonts w:cs="Arial"/>
                <w:color w:val="auto"/>
                <w:sz w:val="24"/>
              </w:rPr>
              <w:t>distribution</w:t>
            </w:r>
            <w:proofErr w:type="gramEnd"/>
            <w:r w:rsidRPr="00BD5234">
              <w:rPr>
                <w:rFonts w:cs="Arial"/>
                <w:color w:val="auto"/>
                <w:sz w:val="24"/>
              </w:rPr>
              <w:t xml:space="preserve"> and purchase of electricity;</w:t>
            </w:r>
          </w:p>
        </w:tc>
        <w:tc>
          <w:tcPr>
            <w:tcW w:w="4111" w:type="dxa"/>
          </w:tcPr>
          <w:p w14:paraId="10240529" w14:textId="04565D35" w:rsidR="001450BF" w:rsidRPr="001450BF" w:rsidRDefault="000B6FBD" w:rsidP="00280F37">
            <w:pPr>
              <w:spacing w:before="40"/>
              <w:ind w:left="113" w:right="113"/>
              <w:rPr>
                <w:sz w:val="24"/>
              </w:rPr>
            </w:pPr>
            <w:r w:rsidRPr="00ED32C9">
              <w:rPr>
                <w:b/>
                <w:sz w:val="24"/>
              </w:rPr>
              <w:t>Positive</w:t>
            </w:r>
            <w:r w:rsidR="00280F37">
              <w:rPr>
                <w:b/>
                <w:sz w:val="24"/>
              </w:rPr>
              <w:t xml:space="preserve">. </w:t>
            </w:r>
            <w:r w:rsidR="001450BF" w:rsidRPr="001450BF">
              <w:rPr>
                <w:bCs/>
                <w:sz w:val="24"/>
              </w:rPr>
              <w:t xml:space="preserve">The investment environment will better </w:t>
            </w:r>
            <w:r w:rsidR="00172BBC" w:rsidRPr="001450BF">
              <w:rPr>
                <w:bCs/>
                <w:sz w:val="24"/>
              </w:rPr>
              <w:t>i</w:t>
            </w:r>
            <w:r w:rsidR="00172BBC">
              <w:rPr>
                <w:bCs/>
                <w:sz w:val="24"/>
              </w:rPr>
              <w:t>f</w:t>
            </w:r>
            <w:r w:rsidR="00172BBC" w:rsidRPr="001450BF">
              <w:rPr>
                <w:bCs/>
                <w:sz w:val="24"/>
              </w:rPr>
              <w:t xml:space="preserve"> </w:t>
            </w:r>
            <w:r w:rsidR="001450BF" w:rsidRPr="001450BF">
              <w:rPr>
                <w:bCs/>
                <w:sz w:val="24"/>
              </w:rPr>
              <w:t>Users are clear about what their contracts do and don’t mean</w:t>
            </w:r>
            <w:r w:rsidR="001450BF">
              <w:rPr>
                <w:bCs/>
                <w:sz w:val="24"/>
              </w:rPr>
              <w:t>. This will be positive for competition.</w:t>
            </w:r>
          </w:p>
        </w:tc>
      </w:tr>
      <w:tr w:rsidR="000B6FBD" w:rsidRPr="00280F37" w14:paraId="34F24340" w14:textId="77777777" w:rsidTr="00280F37">
        <w:trPr>
          <w:trHeight w:val="397"/>
        </w:trPr>
        <w:tc>
          <w:tcPr>
            <w:tcW w:w="5098" w:type="dxa"/>
          </w:tcPr>
          <w:p w14:paraId="3B24DCE2"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t>(c)</w:t>
            </w:r>
            <w:r w:rsidRPr="00BD5234">
              <w:rPr>
                <w:rFonts w:cs="Arial"/>
                <w:color w:val="auto"/>
                <w:sz w:val="24"/>
              </w:rPr>
              <w:tab/>
              <w:t>Compliance with the Electricity Regulation and any relevant legally binding decision of the European Commission and/or the Agency *; and</w:t>
            </w:r>
          </w:p>
        </w:tc>
        <w:tc>
          <w:tcPr>
            <w:tcW w:w="4111" w:type="dxa"/>
          </w:tcPr>
          <w:p w14:paraId="103AA5AB" w14:textId="46D57D17" w:rsidR="000B6FBD" w:rsidRPr="00280F37" w:rsidRDefault="000B6FBD" w:rsidP="000B6FBD">
            <w:pPr>
              <w:spacing w:before="40"/>
              <w:ind w:left="113" w:right="113"/>
              <w:rPr>
                <w:sz w:val="24"/>
                <w:szCs w:val="20"/>
                <w:lang w:val="it-IT"/>
              </w:rPr>
            </w:pPr>
            <w:r w:rsidRPr="00280F37">
              <w:rPr>
                <w:b/>
                <w:sz w:val="24"/>
                <w:lang w:val="it-IT"/>
              </w:rPr>
              <w:t>None:</w:t>
            </w:r>
            <w:r w:rsidRPr="00280F37">
              <w:rPr>
                <w:sz w:val="24"/>
                <w:lang w:val="it-IT"/>
              </w:rPr>
              <w:t xml:space="preserve"> </w:t>
            </w:r>
            <w:r w:rsidR="00280F37" w:rsidRPr="00280F37">
              <w:rPr>
                <w:sz w:val="24"/>
                <w:lang w:val="it-IT"/>
              </w:rPr>
              <w:t>N/A</w:t>
            </w:r>
          </w:p>
        </w:tc>
      </w:tr>
      <w:tr w:rsidR="000B6FBD" w:rsidRPr="006A726B" w14:paraId="1F3D76F1" w14:textId="77777777" w:rsidTr="00280F37">
        <w:trPr>
          <w:trHeight w:val="397"/>
        </w:trPr>
        <w:tc>
          <w:tcPr>
            <w:tcW w:w="5098" w:type="dxa"/>
          </w:tcPr>
          <w:p w14:paraId="4D0AB595"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t>(d) Promoting efficiency in the implementation and administration of the CUSC arrangements.</w:t>
            </w:r>
          </w:p>
        </w:tc>
        <w:tc>
          <w:tcPr>
            <w:tcW w:w="4111" w:type="dxa"/>
          </w:tcPr>
          <w:p w14:paraId="2EE4EBF9" w14:textId="54BC0041" w:rsidR="000B6FBD" w:rsidRPr="00280F37" w:rsidRDefault="000B6FBD" w:rsidP="000B6FBD">
            <w:pPr>
              <w:spacing w:before="40"/>
              <w:ind w:left="113" w:right="113"/>
              <w:rPr>
                <w:bCs/>
                <w:sz w:val="24"/>
                <w:szCs w:val="20"/>
              </w:rPr>
            </w:pPr>
            <w:r w:rsidRPr="00ED32C9">
              <w:rPr>
                <w:b/>
                <w:sz w:val="24"/>
              </w:rPr>
              <w:t>Positive</w:t>
            </w:r>
            <w:r w:rsidR="00280F37">
              <w:rPr>
                <w:b/>
                <w:sz w:val="24"/>
              </w:rPr>
              <w:t xml:space="preserve">: </w:t>
            </w:r>
            <w:r w:rsidR="00280F37" w:rsidRPr="00280F37">
              <w:rPr>
                <w:bCs/>
                <w:sz w:val="24"/>
              </w:rPr>
              <w:t>As a</w:t>
            </w:r>
            <w:r w:rsidR="00280F37">
              <w:rPr>
                <w:b/>
                <w:sz w:val="24"/>
              </w:rPr>
              <w:t xml:space="preserve"> </w:t>
            </w:r>
            <w:r w:rsidR="00280F37" w:rsidRPr="00280F37">
              <w:rPr>
                <w:bCs/>
                <w:sz w:val="24"/>
              </w:rPr>
              <w:t>matte</w:t>
            </w:r>
            <w:r w:rsidR="00280F37">
              <w:rPr>
                <w:bCs/>
                <w:sz w:val="24"/>
              </w:rPr>
              <w:t xml:space="preserve">r of efficient administration, we believe it is better than existing contracts are updated to </w:t>
            </w:r>
            <w:proofErr w:type="gramStart"/>
            <w:r w:rsidR="00280F37">
              <w:rPr>
                <w:bCs/>
                <w:sz w:val="24"/>
              </w:rPr>
              <w:t>more closely match</w:t>
            </w:r>
            <w:proofErr w:type="gramEnd"/>
            <w:r w:rsidR="00280F37">
              <w:rPr>
                <w:bCs/>
                <w:sz w:val="24"/>
              </w:rPr>
              <w:t xml:space="preserve"> what will be in newer agreements.</w:t>
            </w:r>
          </w:p>
        </w:tc>
      </w:tr>
      <w:tr w:rsidR="00AC159B" w:rsidRPr="006A726B" w14:paraId="2DD31E56" w14:textId="77777777" w:rsidTr="002F61FB">
        <w:trPr>
          <w:trHeight w:val="397"/>
        </w:trPr>
        <w:tc>
          <w:tcPr>
            <w:tcW w:w="9209" w:type="dxa"/>
            <w:gridSpan w:val="2"/>
          </w:tcPr>
          <w:p w14:paraId="1408B9F8" w14:textId="076564C6" w:rsidR="00AC159B" w:rsidRPr="006A726B" w:rsidRDefault="00AC159B" w:rsidP="002F61FB">
            <w:pPr>
              <w:spacing w:before="40"/>
              <w:ind w:left="113" w:right="113"/>
              <w:rPr>
                <w:sz w:val="24"/>
                <w:szCs w:val="20"/>
              </w:rPr>
            </w:pPr>
            <w:r w:rsidRPr="00BD5234">
              <w:rPr>
                <w:rFonts w:cs="Arial"/>
                <w:sz w:val="24"/>
              </w:rPr>
              <w:t>*</w:t>
            </w:r>
            <w:r w:rsidR="001C36EA">
              <w:rPr>
                <w:rFonts w:cs="Arial"/>
                <w:sz w:val="24"/>
              </w:rPr>
              <w:t>T</w:t>
            </w:r>
            <w:r w:rsidR="001C36EA" w:rsidRPr="001C36EA">
              <w:rPr>
                <w:rFonts w:cs="Arial"/>
                <w:sz w:val="24"/>
              </w:rPr>
              <w:t>he Electricity Regulation referred to in objective (c) is Regulation (EU) 2019/943 of the European Parliament and of the Council of 5 June 2019 on the internal market for electricity (recast) as it has effect immediately before IP completion day as read with the modifications set out in the SI 2020/1006.</w:t>
            </w:r>
          </w:p>
        </w:tc>
      </w:tr>
    </w:tbl>
    <w:p w14:paraId="66AEB86E" w14:textId="77777777" w:rsidR="00976D98" w:rsidRDefault="00976D98" w:rsidP="003F129C">
      <w:pPr>
        <w:pStyle w:val="e"/>
      </w:pPr>
      <w:r>
        <w:t>When will this change take place?</w:t>
      </w:r>
    </w:p>
    <w:p w14:paraId="57E64F4B" w14:textId="77777777" w:rsidR="005625BF" w:rsidRDefault="005625BF" w:rsidP="00976D98">
      <w:pPr>
        <w:spacing w:before="0" w:after="160" w:line="259" w:lineRule="auto"/>
        <w:rPr>
          <w:b/>
          <w:sz w:val="24"/>
        </w:rPr>
      </w:pPr>
      <w:r w:rsidRPr="005625BF">
        <w:rPr>
          <w:b/>
          <w:sz w:val="24"/>
        </w:rPr>
        <w:t>Implementation date:</w:t>
      </w:r>
    </w:p>
    <w:p w14:paraId="5CEBB01F" w14:textId="63BD9B2F" w:rsidR="00986892" w:rsidRDefault="00280F37" w:rsidP="00986892">
      <w:pPr>
        <w:jc w:val="both"/>
        <w:rPr>
          <w:sz w:val="24"/>
        </w:rPr>
      </w:pPr>
      <w:r>
        <w:rPr>
          <w:sz w:val="24"/>
        </w:rPr>
        <w:t>Aligned with the original solution.</w:t>
      </w:r>
    </w:p>
    <w:p w14:paraId="0344C0F6" w14:textId="0772DDD4" w:rsidR="005625BF" w:rsidRPr="005625BF" w:rsidRDefault="003F129C" w:rsidP="00976D98">
      <w:pPr>
        <w:spacing w:before="0" w:after="160" w:line="259" w:lineRule="auto"/>
        <w:rPr>
          <w:b/>
          <w:sz w:val="24"/>
        </w:rPr>
      </w:pPr>
      <w:r>
        <w:rPr>
          <w:b/>
          <w:sz w:val="24"/>
        </w:rPr>
        <w:t>Implementation approach:</w:t>
      </w:r>
    </w:p>
    <w:p w14:paraId="7FAB533D" w14:textId="6934EFC2" w:rsidR="003F129C" w:rsidRDefault="00280F37" w:rsidP="00976D98">
      <w:pPr>
        <w:keepLines/>
        <w:widowControl w:val="0"/>
        <w:tabs>
          <w:tab w:val="left" w:pos="1418"/>
        </w:tabs>
        <w:spacing w:before="0" w:line="264" w:lineRule="auto"/>
        <w:rPr>
          <w:sz w:val="24"/>
        </w:rPr>
      </w:pPr>
      <w:r>
        <w:rPr>
          <w:sz w:val="24"/>
        </w:rPr>
        <w:t>The ESO would need to issue ATVs to all existing Users that do not present evidence that they have met the Gate 2 Criteria by the due date.</w:t>
      </w:r>
    </w:p>
    <w:p w14:paraId="30766B18" w14:textId="0F187475" w:rsidR="00E843D0" w:rsidRPr="00AC04D3" w:rsidRDefault="00E843D0" w:rsidP="00976D98">
      <w:pPr>
        <w:keepLines/>
        <w:widowControl w:val="0"/>
        <w:tabs>
          <w:tab w:val="left" w:pos="1418"/>
        </w:tabs>
        <w:spacing w:before="0" w:line="264" w:lineRule="auto"/>
        <w:rPr>
          <w:sz w:val="24"/>
        </w:rPr>
      </w:pPr>
      <w:r>
        <w:rPr>
          <w:sz w:val="24"/>
        </w:rPr>
        <w:t>For unchanged Elements, there is no change to the implementation approach.</w:t>
      </w:r>
    </w:p>
    <w:p w14:paraId="43A10972" w14:textId="77777777" w:rsidR="00E65196" w:rsidRPr="00095D82" w:rsidRDefault="00E65196" w:rsidP="00E25874">
      <w:bookmarkStart w:id="1" w:name="_Workgroup_Consultation_1"/>
      <w:bookmarkEnd w:id="1"/>
    </w:p>
    <w:p w14:paraId="5FFBD20C" w14:textId="77777777" w:rsidR="00C92950" w:rsidRPr="00C73CBB" w:rsidRDefault="00C92950" w:rsidP="00976D98">
      <w:pPr>
        <w:pStyle w:val="Style6"/>
        <w:rPr>
          <w:color w:val="F26522" w:themeColor="accent1"/>
        </w:rPr>
      </w:pPr>
      <w:bookmarkStart w:id="2" w:name="_How_to_respond"/>
      <w:bookmarkEnd w:id="2"/>
      <w:r w:rsidRPr="00726C06">
        <w:t>Acronym</w:t>
      </w:r>
      <w:r w:rsidR="00250A22">
        <w:t xml:space="preserve">s, key </w:t>
      </w:r>
      <w:proofErr w:type="gramStart"/>
      <w:r w:rsidR="00250A22">
        <w:t>terms</w:t>
      </w:r>
      <w:proofErr w:type="gramEnd"/>
      <w:r w:rsidR="00D06DC4" w:rsidRPr="00726C06">
        <w:t xml:space="preserve"> and reference </w:t>
      </w:r>
      <w:r w:rsidR="009E2AC7">
        <w:t>material</w:t>
      </w:r>
    </w:p>
    <w:tbl>
      <w:tblPr>
        <w:tblStyle w:val="TableGrid"/>
        <w:tblW w:w="0" w:type="auto"/>
        <w:tblLook w:val="04A0" w:firstRow="1" w:lastRow="0" w:firstColumn="1" w:lastColumn="0" w:noHBand="0" w:noVBand="1"/>
      </w:tblPr>
      <w:tblGrid>
        <w:gridCol w:w="2547"/>
        <w:gridCol w:w="6662"/>
      </w:tblGrid>
      <w:tr w:rsidR="00C73CBB" w14:paraId="2DBD486F" w14:textId="77777777" w:rsidTr="00250A22">
        <w:tc>
          <w:tcPr>
            <w:tcW w:w="2547" w:type="dxa"/>
            <w:shd w:val="clear" w:color="auto" w:fill="727274" w:themeFill="text2"/>
          </w:tcPr>
          <w:p w14:paraId="5AB5EE79" w14:textId="5D9B5D3C" w:rsidR="00C73CBB" w:rsidRPr="009E2AC7" w:rsidRDefault="00C73CBB" w:rsidP="00BC5F63">
            <w:pPr>
              <w:rPr>
                <w:b/>
                <w:color w:val="FFFFFF" w:themeColor="background1"/>
                <w:sz w:val="24"/>
              </w:rPr>
            </w:pPr>
            <w:r w:rsidRPr="009E2AC7">
              <w:rPr>
                <w:b/>
                <w:color w:val="FFFFFF" w:themeColor="background1"/>
                <w:sz w:val="24"/>
              </w:rPr>
              <w:t xml:space="preserve">Acronym </w:t>
            </w:r>
            <w:r w:rsidR="00250A22">
              <w:rPr>
                <w:b/>
                <w:color w:val="FFFFFF" w:themeColor="background1"/>
                <w:sz w:val="24"/>
              </w:rPr>
              <w:t>/ key term</w:t>
            </w:r>
          </w:p>
        </w:tc>
        <w:tc>
          <w:tcPr>
            <w:tcW w:w="6662" w:type="dxa"/>
            <w:shd w:val="clear" w:color="auto" w:fill="727274" w:themeFill="text2"/>
          </w:tcPr>
          <w:p w14:paraId="108A892D" w14:textId="77777777" w:rsidR="00C73CBB" w:rsidRPr="009E2AC7" w:rsidRDefault="00C73CBB" w:rsidP="00BC5F63">
            <w:pPr>
              <w:rPr>
                <w:b/>
                <w:color w:val="FFFFFF" w:themeColor="background1"/>
                <w:sz w:val="24"/>
              </w:rPr>
            </w:pPr>
            <w:r w:rsidRPr="009E2AC7">
              <w:rPr>
                <w:b/>
                <w:color w:val="FFFFFF" w:themeColor="background1"/>
                <w:sz w:val="24"/>
              </w:rPr>
              <w:t>Meaning</w:t>
            </w:r>
          </w:p>
        </w:tc>
      </w:tr>
      <w:tr w:rsidR="00C73CBB" w14:paraId="28AAC560" w14:textId="77777777" w:rsidTr="00250A22">
        <w:tc>
          <w:tcPr>
            <w:tcW w:w="2547" w:type="dxa"/>
          </w:tcPr>
          <w:p w14:paraId="51908FEF" w14:textId="41F6A137" w:rsidR="00C73CBB" w:rsidRPr="006A726B" w:rsidRDefault="00280F37" w:rsidP="0034026E">
            <w:pPr>
              <w:spacing w:before="0" w:after="0"/>
              <w:rPr>
                <w:sz w:val="24"/>
              </w:rPr>
            </w:pPr>
            <w:r>
              <w:rPr>
                <w:sz w:val="24"/>
              </w:rPr>
              <w:t>ATV</w:t>
            </w:r>
          </w:p>
        </w:tc>
        <w:tc>
          <w:tcPr>
            <w:tcW w:w="6662" w:type="dxa"/>
          </w:tcPr>
          <w:p w14:paraId="31EE93D9" w14:textId="07EAD89C" w:rsidR="00C73CBB" w:rsidRPr="00A61985" w:rsidRDefault="00280F37" w:rsidP="0034026E">
            <w:pPr>
              <w:spacing w:before="0" w:after="0"/>
              <w:rPr>
                <w:sz w:val="24"/>
              </w:rPr>
            </w:pPr>
            <w:r>
              <w:rPr>
                <w:sz w:val="24"/>
              </w:rPr>
              <w:t>Agreement to Vary</w:t>
            </w:r>
          </w:p>
        </w:tc>
      </w:tr>
      <w:tr w:rsidR="00046CCE" w14:paraId="7B843725" w14:textId="77777777" w:rsidTr="00250A22">
        <w:tc>
          <w:tcPr>
            <w:tcW w:w="2547" w:type="dxa"/>
          </w:tcPr>
          <w:p w14:paraId="3A62A9AD" w14:textId="77777777" w:rsidR="00046CCE" w:rsidRDefault="00046CCE" w:rsidP="0034026E">
            <w:pPr>
              <w:spacing w:before="0" w:after="0"/>
              <w:rPr>
                <w:sz w:val="24"/>
              </w:rPr>
            </w:pPr>
          </w:p>
        </w:tc>
        <w:tc>
          <w:tcPr>
            <w:tcW w:w="6662" w:type="dxa"/>
          </w:tcPr>
          <w:p w14:paraId="7614155B" w14:textId="77777777" w:rsidR="00046CCE" w:rsidRPr="006A726B" w:rsidRDefault="00046CCE" w:rsidP="0034026E">
            <w:pPr>
              <w:spacing w:before="0" w:after="0"/>
              <w:rPr>
                <w:sz w:val="24"/>
              </w:rPr>
            </w:pPr>
          </w:p>
        </w:tc>
      </w:tr>
    </w:tbl>
    <w:p w14:paraId="14FF7FF1" w14:textId="77777777" w:rsidR="00754610" w:rsidRPr="00DE4B0B" w:rsidRDefault="00754610" w:rsidP="00754610">
      <w:pPr>
        <w:rPr>
          <w:b/>
          <w:sz w:val="24"/>
        </w:rPr>
      </w:pPr>
      <w:r w:rsidRPr="00250A22">
        <w:rPr>
          <w:b/>
          <w:sz w:val="24"/>
        </w:rPr>
        <w:t>Reference material:</w:t>
      </w:r>
    </w:p>
    <w:p w14:paraId="27BE0299" w14:textId="4A5CA27C" w:rsidR="00280F37" w:rsidRDefault="0039432C" w:rsidP="00754610">
      <w:pPr>
        <w:pStyle w:val="ListParagraph"/>
        <w:numPr>
          <w:ilvl w:val="0"/>
          <w:numId w:val="28"/>
        </w:numPr>
        <w:rPr>
          <w:sz w:val="24"/>
        </w:rPr>
      </w:pPr>
      <w:hyperlink r:id="rId19" w:history="1">
        <w:r w:rsidR="00280F37" w:rsidRPr="00280F37">
          <w:rPr>
            <w:rStyle w:val="Hyperlink"/>
            <w:sz w:val="24"/>
          </w:rPr>
          <w:t>ESO webpage on CMP376</w:t>
        </w:r>
      </w:hyperlink>
    </w:p>
    <w:p w14:paraId="28DBF18E" w14:textId="64BFA8DD" w:rsidR="00754610" w:rsidRDefault="0039432C" w:rsidP="00754610">
      <w:pPr>
        <w:pStyle w:val="ListParagraph"/>
        <w:numPr>
          <w:ilvl w:val="0"/>
          <w:numId w:val="28"/>
        </w:numPr>
        <w:rPr>
          <w:sz w:val="24"/>
        </w:rPr>
      </w:pPr>
      <w:hyperlink r:id="rId20" w:history="1">
        <w:r w:rsidR="00280F37" w:rsidRPr="00280F37">
          <w:rPr>
            <w:rStyle w:val="Hyperlink"/>
            <w:sz w:val="24"/>
          </w:rPr>
          <w:t xml:space="preserve">Ofgem </w:t>
        </w:r>
        <w:r w:rsidR="00280F37">
          <w:rPr>
            <w:rStyle w:val="Hyperlink"/>
            <w:sz w:val="24"/>
          </w:rPr>
          <w:t>D</w:t>
        </w:r>
        <w:r w:rsidR="00280F37" w:rsidRPr="00280F37">
          <w:rPr>
            <w:rStyle w:val="Hyperlink"/>
            <w:sz w:val="24"/>
          </w:rPr>
          <w:t xml:space="preserve">ecision </w:t>
        </w:r>
        <w:r w:rsidR="00280F37">
          <w:rPr>
            <w:rStyle w:val="Hyperlink"/>
            <w:sz w:val="24"/>
          </w:rPr>
          <w:t>L</w:t>
        </w:r>
        <w:r w:rsidR="00280F37" w:rsidRPr="00280F37">
          <w:rPr>
            <w:rStyle w:val="Hyperlink"/>
            <w:sz w:val="24"/>
          </w:rPr>
          <w:t>etter on CMP376</w:t>
        </w:r>
      </w:hyperlink>
      <w:r w:rsidR="00280F37">
        <w:rPr>
          <w:sz w:val="24"/>
        </w:rPr>
        <w:t>.</w:t>
      </w:r>
    </w:p>
    <w:p w14:paraId="0B024B34" w14:textId="77777777" w:rsidR="00280F37" w:rsidRPr="00280F37" w:rsidRDefault="00280F37" w:rsidP="00280F37">
      <w:pPr>
        <w:rPr>
          <w:sz w:val="24"/>
        </w:rPr>
      </w:pPr>
    </w:p>
    <w:p w14:paraId="1D961AE1" w14:textId="62FA9D7B" w:rsidR="00D037F9" w:rsidRDefault="00D037F9" w:rsidP="00D037F9">
      <w:pPr>
        <w:rPr>
          <w:sz w:val="24"/>
        </w:rPr>
      </w:pPr>
    </w:p>
    <w:sectPr w:rsidR="00D037F9" w:rsidSect="003B11AC">
      <w:headerReference w:type="default" r:id="rId21"/>
      <w:footerReference w:type="default" r:id="rId2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EE6CD" w14:textId="77777777" w:rsidR="00CE2051" w:rsidRDefault="00CE2051" w:rsidP="00D06DC4">
      <w:pPr>
        <w:spacing w:before="0" w:after="0" w:line="240" w:lineRule="auto"/>
      </w:pPr>
      <w:r>
        <w:separator/>
      </w:r>
    </w:p>
  </w:endnote>
  <w:endnote w:type="continuationSeparator" w:id="0">
    <w:p w14:paraId="22DA71E6" w14:textId="77777777" w:rsidR="00CE2051" w:rsidRDefault="00CE2051" w:rsidP="00D06DC4">
      <w:pPr>
        <w:spacing w:before="0" w:after="0" w:line="240" w:lineRule="auto"/>
      </w:pPr>
      <w:r>
        <w:continuationSeparator/>
      </w:r>
    </w:p>
  </w:endnote>
  <w:endnote w:type="continuationNotice" w:id="1">
    <w:p w14:paraId="6DB61A3F" w14:textId="77777777" w:rsidR="00CE2051" w:rsidRDefault="00CE205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66D0C1A4"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946299">
      <w:rPr>
        <w:rFonts w:cs="Arial"/>
        <w:noProof/>
        <w:sz w:val="16"/>
        <w:szCs w:val="16"/>
        <w:lang w:val="en-US"/>
      </w:rPr>
      <w:t>2</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946299">
      <w:rPr>
        <w:rFonts w:cs="Arial"/>
        <w:noProof/>
        <w:sz w:val="16"/>
        <w:szCs w:val="16"/>
        <w:lang w:val="en-US"/>
      </w:rPr>
      <w:t>4</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7275B" w14:textId="77777777" w:rsidR="00CE2051" w:rsidRDefault="00CE2051" w:rsidP="00D06DC4">
      <w:pPr>
        <w:spacing w:before="0" w:after="0" w:line="240" w:lineRule="auto"/>
      </w:pPr>
      <w:r>
        <w:separator/>
      </w:r>
    </w:p>
  </w:footnote>
  <w:footnote w:type="continuationSeparator" w:id="0">
    <w:p w14:paraId="2733FBAD" w14:textId="77777777" w:rsidR="00CE2051" w:rsidRDefault="00CE2051" w:rsidP="00D06DC4">
      <w:pPr>
        <w:spacing w:before="0" w:after="0" w:line="240" w:lineRule="auto"/>
      </w:pPr>
      <w:r>
        <w:continuationSeparator/>
      </w:r>
    </w:p>
  </w:footnote>
  <w:footnote w:type="continuationNotice" w:id="1">
    <w:p w14:paraId="25CBDD9B" w14:textId="77777777" w:rsidR="00CE2051" w:rsidRDefault="00CE205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68F38" w14:textId="7A7B3225" w:rsidR="00AF48EB" w:rsidRDefault="00AF48EB" w:rsidP="000C711B">
    <w:pPr>
      <w:pStyle w:val="Header"/>
      <w:ind w:left="720" w:firstLine="720"/>
      <w:jc w:val="right"/>
    </w:pPr>
    <w:bookmarkStart w:id="3" w:name="_Hlk31876634"/>
    <w:bookmarkStart w:id="4" w:name="_Hlk31876635"/>
    <w:r w:rsidRPr="00AF48EB">
      <w:rPr>
        <w:noProof/>
      </w:rPr>
      <w:drawing>
        <wp:anchor distT="0" distB="0" distL="114300" distR="114300" simplePos="0" relativeHeight="251658240" behindDoc="1" locked="0" layoutInCell="1" allowOverlap="1" wp14:anchorId="27DF220B" wp14:editId="2CDE7301">
          <wp:simplePos x="0" y="0"/>
          <wp:positionH relativeFrom="page">
            <wp:posOffset>19050</wp:posOffset>
          </wp:positionH>
          <wp:positionV relativeFrom="paragraph">
            <wp:posOffset>-166370</wp:posOffset>
          </wp:positionV>
          <wp:extent cx="1162050" cy="7715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20780" t="14737"/>
                  <a:stretch/>
                </pic:blipFill>
                <pic:spPr bwMode="auto">
                  <a:xfrm>
                    <a:off x="0" y="0"/>
                    <a:ext cx="1162050" cy="7715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A18547B" w14:textId="6015008E" w:rsidR="00B8588F" w:rsidRDefault="00B8588F" w:rsidP="000C711B">
    <w:pPr>
      <w:pStyle w:val="Header"/>
      <w:ind w:left="720" w:firstLine="720"/>
      <w:jc w:val="right"/>
    </w:pPr>
    <w:r>
      <w:tab/>
    </w:r>
    <w:r w:rsidR="00D039FA">
      <w:t>CMP</w:t>
    </w:r>
    <w:r w:rsidR="00EE1412">
      <w:t>43</w:t>
    </w:r>
    <w:r w:rsidR="009A54D0">
      <w:t>5</w:t>
    </w:r>
    <w:r w:rsidR="00F15028">
      <w:t xml:space="preserve"> Alternative </w:t>
    </w:r>
    <w:bookmarkEnd w:id="3"/>
    <w:bookmarkEnd w:id="4"/>
    <w:r w:rsidR="008773F3">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E4EE7"/>
    <w:multiLevelType w:val="hybridMultilevel"/>
    <w:tmpl w:val="6130C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7E1960"/>
    <w:multiLevelType w:val="hybridMultilevel"/>
    <w:tmpl w:val="4D7AA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81142D"/>
    <w:multiLevelType w:val="hybridMultilevel"/>
    <w:tmpl w:val="4BBCFCDC"/>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F5169"/>
    <w:multiLevelType w:val="multilevel"/>
    <w:tmpl w:val="9FD0773A"/>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lowerRoman"/>
      <w:lvlText w:val="%3."/>
      <w:lvlJc w:val="right"/>
      <w:pPr>
        <w:tabs>
          <w:tab w:val="num" w:pos="2160"/>
        </w:tabs>
        <w:ind w:left="2160" w:hanging="360"/>
      </w:pPr>
      <w:rPr>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6D54674"/>
    <w:multiLevelType w:val="hybridMultilevel"/>
    <w:tmpl w:val="258259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C500C9"/>
    <w:multiLevelType w:val="hybridMultilevel"/>
    <w:tmpl w:val="B83AF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02242A"/>
    <w:multiLevelType w:val="hybridMultilevel"/>
    <w:tmpl w:val="D992534C"/>
    <w:lvl w:ilvl="0" w:tplc="08090001">
      <w:start w:val="1"/>
      <w:numFmt w:val="bullet"/>
      <w:lvlText w:val=""/>
      <w:lvlJc w:val="left"/>
      <w:pPr>
        <w:ind w:left="-1308" w:hanging="360"/>
      </w:pPr>
      <w:rPr>
        <w:rFonts w:ascii="Symbol" w:hAnsi="Symbol" w:hint="default"/>
      </w:rPr>
    </w:lvl>
    <w:lvl w:ilvl="1" w:tplc="08090003">
      <w:start w:val="1"/>
      <w:numFmt w:val="bullet"/>
      <w:lvlText w:val="o"/>
      <w:lvlJc w:val="left"/>
      <w:pPr>
        <w:ind w:left="-588" w:hanging="360"/>
      </w:pPr>
      <w:rPr>
        <w:rFonts w:ascii="Courier New" w:hAnsi="Courier New" w:cs="Courier New" w:hint="default"/>
      </w:rPr>
    </w:lvl>
    <w:lvl w:ilvl="2" w:tplc="08090005" w:tentative="1">
      <w:start w:val="1"/>
      <w:numFmt w:val="bullet"/>
      <w:lvlText w:val=""/>
      <w:lvlJc w:val="left"/>
      <w:pPr>
        <w:ind w:left="132" w:hanging="360"/>
      </w:pPr>
      <w:rPr>
        <w:rFonts w:ascii="Wingdings" w:hAnsi="Wingdings" w:hint="default"/>
      </w:rPr>
    </w:lvl>
    <w:lvl w:ilvl="3" w:tplc="08090001" w:tentative="1">
      <w:start w:val="1"/>
      <w:numFmt w:val="bullet"/>
      <w:lvlText w:val=""/>
      <w:lvlJc w:val="left"/>
      <w:pPr>
        <w:ind w:left="852" w:hanging="360"/>
      </w:pPr>
      <w:rPr>
        <w:rFonts w:ascii="Symbol" w:hAnsi="Symbol" w:hint="default"/>
      </w:rPr>
    </w:lvl>
    <w:lvl w:ilvl="4" w:tplc="08090003" w:tentative="1">
      <w:start w:val="1"/>
      <w:numFmt w:val="bullet"/>
      <w:lvlText w:val="o"/>
      <w:lvlJc w:val="left"/>
      <w:pPr>
        <w:ind w:left="1572" w:hanging="360"/>
      </w:pPr>
      <w:rPr>
        <w:rFonts w:ascii="Courier New" w:hAnsi="Courier New" w:cs="Courier New" w:hint="default"/>
      </w:rPr>
    </w:lvl>
    <w:lvl w:ilvl="5" w:tplc="08090005" w:tentative="1">
      <w:start w:val="1"/>
      <w:numFmt w:val="bullet"/>
      <w:lvlText w:val=""/>
      <w:lvlJc w:val="left"/>
      <w:pPr>
        <w:ind w:left="2292" w:hanging="360"/>
      </w:pPr>
      <w:rPr>
        <w:rFonts w:ascii="Wingdings" w:hAnsi="Wingdings" w:hint="default"/>
      </w:rPr>
    </w:lvl>
    <w:lvl w:ilvl="6" w:tplc="08090001" w:tentative="1">
      <w:start w:val="1"/>
      <w:numFmt w:val="bullet"/>
      <w:lvlText w:val=""/>
      <w:lvlJc w:val="left"/>
      <w:pPr>
        <w:ind w:left="3012" w:hanging="360"/>
      </w:pPr>
      <w:rPr>
        <w:rFonts w:ascii="Symbol" w:hAnsi="Symbol" w:hint="default"/>
      </w:rPr>
    </w:lvl>
    <w:lvl w:ilvl="7" w:tplc="08090003" w:tentative="1">
      <w:start w:val="1"/>
      <w:numFmt w:val="bullet"/>
      <w:lvlText w:val="o"/>
      <w:lvlJc w:val="left"/>
      <w:pPr>
        <w:ind w:left="3732" w:hanging="360"/>
      </w:pPr>
      <w:rPr>
        <w:rFonts w:ascii="Courier New" w:hAnsi="Courier New" w:cs="Courier New" w:hint="default"/>
      </w:rPr>
    </w:lvl>
    <w:lvl w:ilvl="8" w:tplc="08090005" w:tentative="1">
      <w:start w:val="1"/>
      <w:numFmt w:val="bullet"/>
      <w:lvlText w:val=""/>
      <w:lvlJc w:val="left"/>
      <w:pPr>
        <w:ind w:left="4452" w:hanging="360"/>
      </w:pPr>
      <w:rPr>
        <w:rFonts w:ascii="Wingdings" w:hAnsi="Wingdings" w:hint="default"/>
      </w:rPr>
    </w:lvl>
  </w:abstractNum>
  <w:abstractNum w:abstractNumId="7"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CB21E3"/>
    <w:multiLevelType w:val="hybridMultilevel"/>
    <w:tmpl w:val="B686DF70"/>
    <w:lvl w:ilvl="0" w:tplc="9A424D60">
      <w:start w:val="2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CA3F06"/>
    <w:multiLevelType w:val="hybridMultilevel"/>
    <w:tmpl w:val="2AF0A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4F2F3A"/>
    <w:multiLevelType w:val="hybridMultilevel"/>
    <w:tmpl w:val="E5964A78"/>
    <w:lvl w:ilvl="0" w:tplc="4FAC0D3E">
      <w:start w:val="1"/>
      <w:numFmt w:val="bullet"/>
      <w:lvlText w:val=""/>
      <w:lvlJc w:val="left"/>
      <w:pPr>
        <w:ind w:left="360" w:hanging="360"/>
      </w:pPr>
      <w:rPr>
        <w:rFonts w:ascii="Symbol" w:hAnsi="Symbol" w:hint="default"/>
        <w:color w:val="F26522" w:themeColor="accen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0B57F62"/>
    <w:multiLevelType w:val="hybridMultilevel"/>
    <w:tmpl w:val="329C1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A30C51"/>
    <w:multiLevelType w:val="hybridMultilevel"/>
    <w:tmpl w:val="4288D228"/>
    <w:lvl w:ilvl="0" w:tplc="4FAC0D3E">
      <w:start w:val="1"/>
      <w:numFmt w:val="bullet"/>
      <w:lvlText w:val=""/>
      <w:lvlJc w:val="left"/>
      <w:pPr>
        <w:ind w:left="720" w:hanging="360"/>
      </w:pPr>
      <w:rPr>
        <w:rFonts w:ascii="Symbol" w:hAnsi="Symbol" w:hint="default"/>
        <w:color w:val="F26522"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962D16"/>
    <w:multiLevelType w:val="hybridMultilevel"/>
    <w:tmpl w:val="F04AD334"/>
    <w:lvl w:ilvl="0" w:tplc="BF32522C">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987276"/>
    <w:multiLevelType w:val="hybridMultilevel"/>
    <w:tmpl w:val="D0B42ED6"/>
    <w:lvl w:ilvl="0" w:tplc="2DC657D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1C3BE7"/>
    <w:multiLevelType w:val="hybridMultilevel"/>
    <w:tmpl w:val="883CE3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5EE39C3"/>
    <w:multiLevelType w:val="hybridMultilevel"/>
    <w:tmpl w:val="5B7CF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7B14B5E"/>
    <w:multiLevelType w:val="hybridMultilevel"/>
    <w:tmpl w:val="3946AE40"/>
    <w:lvl w:ilvl="0" w:tplc="85A46C0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A2733"/>
    <w:multiLevelType w:val="hybridMultilevel"/>
    <w:tmpl w:val="00844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8FA6670"/>
    <w:multiLevelType w:val="hybridMultilevel"/>
    <w:tmpl w:val="41DE3348"/>
    <w:lvl w:ilvl="0" w:tplc="2DC657D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96E392C"/>
    <w:multiLevelType w:val="hybridMultilevel"/>
    <w:tmpl w:val="BEBA8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CC4F2A"/>
    <w:multiLevelType w:val="hybridMultilevel"/>
    <w:tmpl w:val="5DDAE774"/>
    <w:lvl w:ilvl="0" w:tplc="1CB82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C7C71B9"/>
    <w:multiLevelType w:val="hybridMultilevel"/>
    <w:tmpl w:val="4D960434"/>
    <w:lvl w:ilvl="0" w:tplc="08090001">
      <w:start w:val="1"/>
      <w:numFmt w:val="bullet"/>
      <w:lvlText w:val=""/>
      <w:lvlJc w:val="left"/>
      <w:pPr>
        <w:ind w:left="1080" w:hanging="72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F8C7442">
      <w:numFmt w:val="bullet"/>
      <w:lvlText w:val="•"/>
      <w:lvlJc w:val="left"/>
      <w:pPr>
        <w:ind w:left="2520" w:hanging="720"/>
      </w:pPr>
      <w:rPr>
        <w:rFonts w:ascii="Arial" w:eastAsia="Times New Roman" w:hAnsi="Arial" w:cs="Aria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FB93D53"/>
    <w:multiLevelType w:val="hybridMultilevel"/>
    <w:tmpl w:val="A2C4E61E"/>
    <w:lvl w:ilvl="0" w:tplc="4FAC0D3E">
      <w:start w:val="1"/>
      <w:numFmt w:val="bullet"/>
      <w:lvlText w:val=""/>
      <w:lvlJc w:val="left"/>
      <w:pPr>
        <w:ind w:left="360" w:hanging="360"/>
      </w:pPr>
      <w:rPr>
        <w:rFonts w:ascii="Symbol" w:hAnsi="Symbol" w:hint="default"/>
        <w:color w:val="F26522" w:themeColor="accen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1FA2EF6"/>
    <w:multiLevelType w:val="hybridMultilevel"/>
    <w:tmpl w:val="D220C4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4F21251"/>
    <w:multiLevelType w:val="hybridMultilevel"/>
    <w:tmpl w:val="D4CAF8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D678C2"/>
    <w:multiLevelType w:val="hybridMultilevel"/>
    <w:tmpl w:val="15547934"/>
    <w:lvl w:ilvl="0" w:tplc="23000F92">
      <w:start w:val="1"/>
      <w:numFmt w:val="bullet"/>
      <w:lvlText w:val="•"/>
      <w:lvlJc w:val="left"/>
      <w:pPr>
        <w:tabs>
          <w:tab w:val="num" w:pos="720"/>
        </w:tabs>
        <w:ind w:left="720" w:hanging="360"/>
      </w:pPr>
      <w:rPr>
        <w:rFonts w:ascii="Arial" w:hAnsi="Arial" w:hint="default"/>
      </w:rPr>
    </w:lvl>
    <w:lvl w:ilvl="1" w:tplc="B0C27DD4" w:tentative="1">
      <w:start w:val="1"/>
      <w:numFmt w:val="bullet"/>
      <w:lvlText w:val="•"/>
      <w:lvlJc w:val="left"/>
      <w:pPr>
        <w:tabs>
          <w:tab w:val="num" w:pos="1440"/>
        </w:tabs>
        <w:ind w:left="1440" w:hanging="360"/>
      </w:pPr>
      <w:rPr>
        <w:rFonts w:ascii="Arial" w:hAnsi="Arial" w:hint="default"/>
      </w:rPr>
    </w:lvl>
    <w:lvl w:ilvl="2" w:tplc="CA8A9990" w:tentative="1">
      <w:start w:val="1"/>
      <w:numFmt w:val="bullet"/>
      <w:lvlText w:val="•"/>
      <w:lvlJc w:val="left"/>
      <w:pPr>
        <w:tabs>
          <w:tab w:val="num" w:pos="2160"/>
        </w:tabs>
        <w:ind w:left="2160" w:hanging="360"/>
      </w:pPr>
      <w:rPr>
        <w:rFonts w:ascii="Arial" w:hAnsi="Arial" w:hint="default"/>
      </w:rPr>
    </w:lvl>
    <w:lvl w:ilvl="3" w:tplc="D772C24E">
      <w:numFmt w:val="bullet"/>
      <w:lvlText w:val="•"/>
      <w:lvlJc w:val="left"/>
      <w:pPr>
        <w:tabs>
          <w:tab w:val="num" w:pos="2880"/>
        </w:tabs>
        <w:ind w:left="2880" w:hanging="360"/>
      </w:pPr>
      <w:rPr>
        <w:rFonts w:ascii="Arial" w:hAnsi="Arial" w:hint="default"/>
      </w:rPr>
    </w:lvl>
    <w:lvl w:ilvl="4" w:tplc="E5383764" w:tentative="1">
      <w:start w:val="1"/>
      <w:numFmt w:val="bullet"/>
      <w:lvlText w:val="•"/>
      <w:lvlJc w:val="left"/>
      <w:pPr>
        <w:tabs>
          <w:tab w:val="num" w:pos="3600"/>
        </w:tabs>
        <w:ind w:left="3600" w:hanging="360"/>
      </w:pPr>
      <w:rPr>
        <w:rFonts w:ascii="Arial" w:hAnsi="Arial" w:hint="default"/>
      </w:rPr>
    </w:lvl>
    <w:lvl w:ilvl="5" w:tplc="870A1898" w:tentative="1">
      <w:start w:val="1"/>
      <w:numFmt w:val="bullet"/>
      <w:lvlText w:val="•"/>
      <w:lvlJc w:val="left"/>
      <w:pPr>
        <w:tabs>
          <w:tab w:val="num" w:pos="4320"/>
        </w:tabs>
        <w:ind w:left="4320" w:hanging="360"/>
      </w:pPr>
      <w:rPr>
        <w:rFonts w:ascii="Arial" w:hAnsi="Arial" w:hint="default"/>
      </w:rPr>
    </w:lvl>
    <w:lvl w:ilvl="6" w:tplc="FFBC7A0A" w:tentative="1">
      <w:start w:val="1"/>
      <w:numFmt w:val="bullet"/>
      <w:lvlText w:val="•"/>
      <w:lvlJc w:val="left"/>
      <w:pPr>
        <w:tabs>
          <w:tab w:val="num" w:pos="5040"/>
        </w:tabs>
        <w:ind w:left="5040" w:hanging="360"/>
      </w:pPr>
      <w:rPr>
        <w:rFonts w:ascii="Arial" w:hAnsi="Arial" w:hint="default"/>
      </w:rPr>
    </w:lvl>
    <w:lvl w:ilvl="7" w:tplc="5EB2291A" w:tentative="1">
      <w:start w:val="1"/>
      <w:numFmt w:val="bullet"/>
      <w:lvlText w:val="•"/>
      <w:lvlJc w:val="left"/>
      <w:pPr>
        <w:tabs>
          <w:tab w:val="num" w:pos="5760"/>
        </w:tabs>
        <w:ind w:left="5760" w:hanging="360"/>
      </w:pPr>
      <w:rPr>
        <w:rFonts w:ascii="Arial" w:hAnsi="Arial" w:hint="default"/>
      </w:rPr>
    </w:lvl>
    <w:lvl w:ilvl="8" w:tplc="40569F04"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89C2AA6"/>
    <w:multiLevelType w:val="hybridMultilevel"/>
    <w:tmpl w:val="5DDAE774"/>
    <w:lvl w:ilvl="0" w:tplc="1CB82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C57307A"/>
    <w:multiLevelType w:val="hybridMultilevel"/>
    <w:tmpl w:val="EFE02B12"/>
    <w:lvl w:ilvl="0" w:tplc="08090001">
      <w:start w:val="1"/>
      <w:numFmt w:val="bullet"/>
      <w:lvlText w:val=""/>
      <w:lvlJc w:val="left"/>
      <w:pPr>
        <w:ind w:left="788" w:hanging="360"/>
      </w:pPr>
      <w:rPr>
        <w:rFonts w:ascii="Symbol" w:hAnsi="Symbol"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33" w15:restartNumberingAfterBreak="0">
    <w:nsid w:val="60DB0036"/>
    <w:multiLevelType w:val="hybridMultilevel"/>
    <w:tmpl w:val="8A683B0A"/>
    <w:lvl w:ilvl="0" w:tplc="BF32522C">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49C7CEE"/>
    <w:multiLevelType w:val="hybridMultilevel"/>
    <w:tmpl w:val="39ACF870"/>
    <w:lvl w:ilvl="0" w:tplc="2DC657D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7020435"/>
    <w:multiLevelType w:val="hybridMultilevel"/>
    <w:tmpl w:val="216E05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BB24DB8"/>
    <w:multiLevelType w:val="hybridMultilevel"/>
    <w:tmpl w:val="CC7C5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F6E0C32"/>
    <w:multiLevelType w:val="hybridMultilevel"/>
    <w:tmpl w:val="3F18D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EF1DCD"/>
    <w:multiLevelType w:val="hybridMultilevel"/>
    <w:tmpl w:val="03089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EC1F9A"/>
    <w:multiLevelType w:val="hybridMultilevel"/>
    <w:tmpl w:val="0560B41C"/>
    <w:lvl w:ilvl="0" w:tplc="4FAC0D3E">
      <w:start w:val="1"/>
      <w:numFmt w:val="bullet"/>
      <w:lvlText w:val=""/>
      <w:lvlJc w:val="left"/>
      <w:pPr>
        <w:ind w:left="720" w:hanging="360"/>
      </w:pPr>
      <w:rPr>
        <w:rFonts w:ascii="Symbol" w:hAnsi="Symbol" w:hint="default"/>
        <w:color w:val="F26522"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323613F"/>
    <w:multiLevelType w:val="hybridMultilevel"/>
    <w:tmpl w:val="2196C67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77ED0B8E"/>
    <w:multiLevelType w:val="hybridMultilevel"/>
    <w:tmpl w:val="022E12E4"/>
    <w:lvl w:ilvl="0" w:tplc="AD7E4C78">
      <w:start w:val="1"/>
      <w:numFmt w:val="lowerRoman"/>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44" w15:restartNumberingAfterBreak="0">
    <w:nsid w:val="7D487CBE"/>
    <w:multiLevelType w:val="hybridMultilevel"/>
    <w:tmpl w:val="9F5C1A7A"/>
    <w:lvl w:ilvl="0" w:tplc="B67405D8">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EC05731"/>
    <w:multiLevelType w:val="hybridMultilevel"/>
    <w:tmpl w:val="95A0B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E01B0C"/>
    <w:multiLevelType w:val="hybridMultilevel"/>
    <w:tmpl w:val="594075CE"/>
    <w:lvl w:ilvl="0" w:tplc="85A46C0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7713168">
    <w:abstractNumId w:val="27"/>
  </w:num>
  <w:num w:numId="2" w16cid:durableId="834683394">
    <w:abstractNumId w:val="6"/>
  </w:num>
  <w:num w:numId="3" w16cid:durableId="139812832">
    <w:abstractNumId w:val="36"/>
  </w:num>
  <w:num w:numId="4" w16cid:durableId="1871451881">
    <w:abstractNumId w:val="18"/>
  </w:num>
  <w:num w:numId="5" w16cid:durableId="152186045">
    <w:abstractNumId w:val="9"/>
  </w:num>
  <w:num w:numId="6" w16cid:durableId="1468814304">
    <w:abstractNumId w:val="19"/>
  </w:num>
  <w:num w:numId="7" w16cid:durableId="1796295826">
    <w:abstractNumId w:val="12"/>
  </w:num>
  <w:num w:numId="8" w16cid:durableId="415637216">
    <w:abstractNumId w:val="46"/>
  </w:num>
  <w:num w:numId="9" w16cid:durableId="2003968852">
    <w:abstractNumId w:val="17"/>
  </w:num>
  <w:num w:numId="10" w16cid:durableId="1434938007">
    <w:abstractNumId w:val="5"/>
  </w:num>
  <w:num w:numId="11" w16cid:durableId="247152751">
    <w:abstractNumId w:val="10"/>
  </w:num>
  <w:num w:numId="12" w16cid:durableId="269817980">
    <w:abstractNumId w:val="41"/>
  </w:num>
  <w:num w:numId="13" w16cid:durableId="900486394">
    <w:abstractNumId w:val="25"/>
  </w:num>
  <w:num w:numId="14" w16cid:durableId="715859044">
    <w:abstractNumId w:val="21"/>
  </w:num>
  <w:num w:numId="15" w16cid:durableId="1272126062">
    <w:abstractNumId w:val="1"/>
  </w:num>
  <w:num w:numId="16" w16cid:durableId="1513912385">
    <w:abstractNumId w:val="39"/>
  </w:num>
  <w:num w:numId="17" w16cid:durableId="214659590">
    <w:abstractNumId w:val="35"/>
  </w:num>
  <w:num w:numId="18" w16cid:durableId="1781606334">
    <w:abstractNumId w:val="20"/>
  </w:num>
  <w:num w:numId="19" w16cid:durableId="1506280495">
    <w:abstractNumId w:val="14"/>
  </w:num>
  <w:num w:numId="20" w16cid:durableId="94710958">
    <w:abstractNumId w:val="8"/>
  </w:num>
  <w:num w:numId="21" w16cid:durableId="1925144489">
    <w:abstractNumId w:val="29"/>
  </w:num>
  <w:num w:numId="22" w16cid:durableId="1103845311">
    <w:abstractNumId w:val="32"/>
  </w:num>
  <w:num w:numId="23" w16cid:durableId="2043364612">
    <w:abstractNumId w:val="4"/>
  </w:num>
  <w:num w:numId="24" w16cid:durableId="665480676">
    <w:abstractNumId w:val="15"/>
  </w:num>
  <w:num w:numId="25" w16cid:durableId="1005597105">
    <w:abstractNumId w:val="45"/>
  </w:num>
  <w:num w:numId="26" w16cid:durableId="874151452">
    <w:abstractNumId w:val="11"/>
  </w:num>
  <w:num w:numId="27" w16cid:durableId="346642229">
    <w:abstractNumId w:val="28"/>
  </w:num>
  <w:num w:numId="28" w16cid:durableId="816651842">
    <w:abstractNumId w:val="7"/>
  </w:num>
  <w:num w:numId="29" w16cid:durableId="1407806038">
    <w:abstractNumId w:val="31"/>
  </w:num>
  <w:num w:numId="30" w16cid:durableId="929972398">
    <w:abstractNumId w:val="40"/>
  </w:num>
  <w:num w:numId="31" w16cid:durableId="1052509525">
    <w:abstractNumId w:val="37"/>
  </w:num>
  <w:num w:numId="32" w16cid:durableId="1815175453">
    <w:abstractNumId w:val="0"/>
  </w:num>
  <w:num w:numId="33" w16cid:durableId="107088916">
    <w:abstractNumId w:val="23"/>
  </w:num>
  <w:num w:numId="34" w16cid:durableId="1760172272">
    <w:abstractNumId w:val="3"/>
    <w:lvlOverride w:ilvl="0">
      <w:startOverride w:val="1"/>
    </w:lvlOverride>
    <w:lvlOverride w:ilvl="1"/>
    <w:lvlOverride w:ilvl="2">
      <w:startOverride w:val="1"/>
    </w:lvlOverride>
    <w:lvlOverride w:ilvl="3"/>
    <w:lvlOverride w:ilvl="4"/>
    <w:lvlOverride w:ilvl="5"/>
    <w:lvlOverride w:ilvl="6"/>
    <w:lvlOverride w:ilvl="7"/>
    <w:lvlOverride w:ilvl="8"/>
  </w:num>
  <w:num w:numId="35" w16cid:durableId="4787667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17087736">
    <w:abstractNumId w:val="30"/>
  </w:num>
  <w:num w:numId="37" w16cid:durableId="50884908">
    <w:abstractNumId w:val="22"/>
  </w:num>
  <w:num w:numId="38" w16cid:durableId="581330511">
    <w:abstractNumId w:val="37"/>
  </w:num>
  <w:num w:numId="39" w16cid:durableId="1815485920">
    <w:abstractNumId w:val="16"/>
  </w:num>
  <w:num w:numId="40" w16cid:durableId="1797525147">
    <w:abstractNumId w:val="37"/>
  </w:num>
  <w:num w:numId="41" w16cid:durableId="579943182">
    <w:abstractNumId w:val="2"/>
  </w:num>
  <w:num w:numId="42" w16cid:durableId="54657416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22387173">
    <w:abstractNumId w:val="34"/>
  </w:num>
  <w:num w:numId="44" w16cid:durableId="2035107057">
    <w:abstractNumId w:val="38"/>
  </w:num>
  <w:num w:numId="45" w16cid:durableId="1757940763">
    <w:abstractNumId w:val="24"/>
  </w:num>
  <w:num w:numId="46" w16cid:durableId="286744007">
    <w:abstractNumId w:val="26"/>
  </w:num>
  <w:num w:numId="47" w16cid:durableId="786851405">
    <w:abstractNumId w:val="44"/>
  </w:num>
  <w:num w:numId="48" w16cid:durableId="934170354">
    <w:abstractNumId w:val="13"/>
  </w:num>
  <w:num w:numId="49" w16cid:durableId="49364341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edit="trackedChange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70F"/>
    <w:rsid w:val="000008A4"/>
    <w:rsid w:val="000058F6"/>
    <w:rsid w:val="00007098"/>
    <w:rsid w:val="00007585"/>
    <w:rsid w:val="00010D3D"/>
    <w:rsid w:val="000118E5"/>
    <w:rsid w:val="00014338"/>
    <w:rsid w:val="0001453C"/>
    <w:rsid w:val="00021A5C"/>
    <w:rsid w:val="000247E7"/>
    <w:rsid w:val="00025AFC"/>
    <w:rsid w:val="00027DF5"/>
    <w:rsid w:val="00027F1E"/>
    <w:rsid w:val="0003076F"/>
    <w:rsid w:val="0003112E"/>
    <w:rsid w:val="000327A9"/>
    <w:rsid w:val="00032942"/>
    <w:rsid w:val="00032AB3"/>
    <w:rsid w:val="00035D7B"/>
    <w:rsid w:val="00041BA7"/>
    <w:rsid w:val="00043265"/>
    <w:rsid w:val="00043CA8"/>
    <w:rsid w:val="00044C49"/>
    <w:rsid w:val="0004551F"/>
    <w:rsid w:val="00046C6B"/>
    <w:rsid w:val="00046C95"/>
    <w:rsid w:val="00046CCE"/>
    <w:rsid w:val="00046F03"/>
    <w:rsid w:val="00051A86"/>
    <w:rsid w:val="00052326"/>
    <w:rsid w:val="000544C2"/>
    <w:rsid w:val="000544FA"/>
    <w:rsid w:val="000570EE"/>
    <w:rsid w:val="00057671"/>
    <w:rsid w:val="00065E1C"/>
    <w:rsid w:val="000675C2"/>
    <w:rsid w:val="00067ACE"/>
    <w:rsid w:val="00071870"/>
    <w:rsid w:val="00073139"/>
    <w:rsid w:val="00073685"/>
    <w:rsid w:val="000740A7"/>
    <w:rsid w:val="000745B7"/>
    <w:rsid w:val="00074D0E"/>
    <w:rsid w:val="00081650"/>
    <w:rsid w:val="0008165C"/>
    <w:rsid w:val="0008489B"/>
    <w:rsid w:val="000862C8"/>
    <w:rsid w:val="00086811"/>
    <w:rsid w:val="00094AC2"/>
    <w:rsid w:val="00095D82"/>
    <w:rsid w:val="0009607F"/>
    <w:rsid w:val="000A10E8"/>
    <w:rsid w:val="000A2D90"/>
    <w:rsid w:val="000A3750"/>
    <w:rsid w:val="000A6E2E"/>
    <w:rsid w:val="000B138B"/>
    <w:rsid w:val="000B1E99"/>
    <w:rsid w:val="000B1F6E"/>
    <w:rsid w:val="000B6AB0"/>
    <w:rsid w:val="000B6ADA"/>
    <w:rsid w:val="000B6FBD"/>
    <w:rsid w:val="000C0F50"/>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EA1"/>
    <w:rsid w:val="000E2452"/>
    <w:rsid w:val="000E3729"/>
    <w:rsid w:val="000F0A75"/>
    <w:rsid w:val="000F1A70"/>
    <w:rsid w:val="000F2FC3"/>
    <w:rsid w:val="000F4990"/>
    <w:rsid w:val="000F7DBD"/>
    <w:rsid w:val="000F7DE1"/>
    <w:rsid w:val="001001FD"/>
    <w:rsid w:val="001010DC"/>
    <w:rsid w:val="00101348"/>
    <w:rsid w:val="001018FF"/>
    <w:rsid w:val="00101B9C"/>
    <w:rsid w:val="0010339F"/>
    <w:rsid w:val="00105605"/>
    <w:rsid w:val="00105DE3"/>
    <w:rsid w:val="00106A7D"/>
    <w:rsid w:val="00106D58"/>
    <w:rsid w:val="00106E46"/>
    <w:rsid w:val="0010791D"/>
    <w:rsid w:val="00107D66"/>
    <w:rsid w:val="001118CF"/>
    <w:rsid w:val="00111CBD"/>
    <w:rsid w:val="001171E8"/>
    <w:rsid w:val="00120724"/>
    <w:rsid w:val="001236C0"/>
    <w:rsid w:val="0012453D"/>
    <w:rsid w:val="0012463C"/>
    <w:rsid w:val="00126C8E"/>
    <w:rsid w:val="00132609"/>
    <w:rsid w:val="001349AB"/>
    <w:rsid w:val="001349CB"/>
    <w:rsid w:val="00134F5B"/>
    <w:rsid w:val="0013683C"/>
    <w:rsid w:val="00136B3E"/>
    <w:rsid w:val="00141901"/>
    <w:rsid w:val="0014402B"/>
    <w:rsid w:val="001450BF"/>
    <w:rsid w:val="0014530C"/>
    <w:rsid w:val="001454B5"/>
    <w:rsid w:val="00147694"/>
    <w:rsid w:val="00150256"/>
    <w:rsid w:val="001521C5"/>
    <w:rsid w:val="00152FBB"/>
    <w:rsid w:val="00155A85"/>
    <w:rsid w:val="00157AF1"/>
    <w:rsid w:val="001605E9"/>
    <w:rsid w:val="001618E7"/>
    <w:rsid w:val="00161C50"/>
    <w:rsid w:val="00163518"/>
    <w:rsid w:val="001644D6"/>
    <w:rsid w:val="00164976"/>
    <w:rsid w:val="00164E49"/>
    <w:rsid w:val="00167859"/>
    <w:rsid w:val="0017054E"/>
    <w:rsid w:val="0017092A"/>
    <w:rsid w:val="00171B0E"/>
    <w:rsid w:val="00172BBC"/>
    <w:rsid w:val="00173901"/>
    <w:rsid w:val="00173F0A"/>
    <w:rsid w:val="00174C95"/>
    <w:rsid w:val="00175B87"/>
    <w:rsid w:val="00175C02"/>
    <w:rsid w:val="00182559"/>
    <w:rsid w:val="00184853"/>
    <w:rsid w:val="001853F8"/>
    <w:rsid w:val="0019086A"/>
    <w:rsid w:val="00194981"/>
    <w:rsid w:val="001A21EE"/>
    <w:rsid w:val="001A5284"/>
    <w:rsid w:val="001A77D1"/>
    <w:rsid w:val="001B0673"/>
    <w:rsid w:val="001B13B5"/>
    <w:rsid w:val="001B1677"/>
    <w:rsid w:val="001B18BC"/>
    <w:rsid w:val="001B2928"/>
    <w:rsid w:val="001B7104"/>
    <w:rsid w:val="001B76B1"/>
    <w:rsid w:val="001C0212"/>
    <w:rsid w:val="001C05F7"/>
    <w:rsid w:val="001C0A4C"/>
    <w:rsid w:val="001C12B3"/>
    <w:rsid w:val="001C22BD"/>
    <w:rsid w:val="001C36EA"/>
    <w:rsid w:val="001C6B13"/>
    <w:rsid w:val="001C7125"/>
    <w:rsid w:val="001D1369"/>
    <w:rsid w:val="001D150E"/>
    <w:rsid w:val="001D1FAC"/>
    <w:rsid w:val="001D3A73"/>
    <w:rsid w:val="001D3B61"/>
    <w:rsid w:val="001D435D"/>
    <w:rsid w:val="001D435E"/>
    <w:rsid w:val="001D48A3"/>
    <w:rsid w:val="001D741E"/>
    <w:rsid w:val="001E1149"/>
    <w:rsid w:val="001E477B"/>
    <w:rsid w:val="001E4B96"/>
    <w:rsid w:val="001E53E8"/>
    <w:rsid w:val="001E5706"/>
    <w:rsid w:val="001F10F4"/>
    <w:rsid w:val="001F33F0"/>
    <w:rsid w:val="001F51F0"/>
    <w:rsid w:val="001F62CE"/>
    <w:rsid w:val="0020148A"/>
    <w:rsid w:val="00204E96"/>
    <w:rsid w:val="00207706"/>
    <w:rsid w:val="00207CBF"/>
    <w:rsid w:val="002131BA"/>
    <w:rsid w:val="00213F7A"/>
    <w:rsid w:val="00214C0B"/>
    <w:rsid w:val="002153B2"/>
    <w:rsid w:val="00217A69"/>
    <w:rsid w:val="00220684"/>
    <w:rsid w:val="00221806"/>
    <w:rsid w:val="002229C9"/>
    <w:rsid w:val="00224DC9"/>
    <w:rsid w:val="00232757"/>
    <w:rsid w:val="00233594"/>
    <w:rsid w:val="002342A0"/>
    <w:rsid w:val="0023461A"/>
    <w:rsid w:val="0023575D"/>
    <w:rsid w:val="002362B6"/>
    <w:rsid w:val="00240571"/>
    <w:rsid w:val="00242D19"/>
    <w:rsid w:val="00244A90"/>
    <w:rsid w:val="00250A22"/>
    <w:rsid w:val="00254599"/>
    <w:rsid w:val="00254CB4"/>
    <w:rsid w:val="002569A0"/>
    <w:rsid w:val="00256C1F"/>
    <w:rsid w:val="002571BD"/>
    <w:rsid w:val="0025735E"/>
    <w:rsid w:val="00262EA3"/>
    <w:rsid w:val="0026367B"/>
    <w:rsid w:val="00264D0F"/>
    <w:rsid w:val="00270A32"/>
    <w:rsid w:val="00270FBC"/>
    <w:rsid w:val="00271241"/>
    <w:rsid w:val="00275264"/>
    <w:rsid w:val="002778EB"/>
    <w:rsid w:val="00280C54"/>
    <w:rsid w:val="00280F37"/>
    <w:rsid w:val="002814F4"/>
    <w:rsid w:val="00282BD2"/>
    <w:rsid w:val="00282BE7"/>
    <w:rsid w:val="002851F5"/>
    <w:rsid w:val="0028684F"/>
    <w:rsid w:val="00286869"/>
    <w:rsid w:val="002905C2"/>
    <w:rsid w:val="00290D47"/>
    <w:rsid w:val="00290E73"/>
    <w:rsid w:val="002924FF"/>
    <w:rsid w:val="00292AF3"/>
    <w:rsid w:val="00293837"/>
    <w:rsid w:val="00294971"/>
    <w:rsid w:val="00295110"/>
    <w:rsid w:val="002966CC"/>
    <w:rsid w:val="002971BF"/>
    <w:rsid w:val="002A0454"/>
    <w:rsid w:val="002A07AF"/>
    <w:rsid w:val="002A1AD0"/>
    <w:rsid w:val="002A51AD"/>
    <w:rsid w:val="002B3381"/>
    <w:rsid w:val="002B4673"/>
    <w:rsid w:val="002B5ADD"/>
    <w:rsid w:val="002B6174"/>
    <w:rsid w:val="002B64CB"/>
    <w:rsid w:val="002C14D3"/>
    <w:rsid w:val="002C2626"/>
    <w:rsid w:val="002C53F4"/>
    <w:rsid w:val="002C5585"/>
    <w:rsid w:val="002D20B5"/>
    <w:rsid w:val="002D28D8"/>
    <w:rsid w:val="002D725D"/>
    <w:rsid w:val="002E02F4"/>
    <w:rsid w:val="002E64AD"/>
    <w:rsid w:val="002E79AB"/>
    <w:rsid w:val="002E7DE1"/>
    <w:rsid w:val="002F22D0"/>
    <w:rsid w:val="002F23E3"/>
    <w:rsid w:val="002F2473"/>
    <w:rsid w:val="002F3293"/>
    <w:rsid w:val="002F3D4C"/>
    <w:rsid w:val="002F3D6A"/>
    <w:rsid w:val="002F61FB"/>
    <w:rsid w:val="003019C4"/>
    <w:rsid w:val="00303CCE"/>
    <w:rsid w:val="00303EF5"/>
    <w:rsid w:val="003055A9"/>
    <w:rsid w:val="00305EE2"/>
    <w:rsid w:val="003104C8"/>
    <w:rsid w:val="00313073"/>
    <w:rsid w:val="00313B1D"/>
    <w:rsid w:val="00314414"/>
    <w:rsid w:val="00317BE9"/>
    <w:rsid w:val="00321AC9"/>
    <w:rsid w:val="00322D36"/>
    <w:rsid w:val="00324130"/>
    <w:rsid w:val="00325CF8"/>
    <w:rsid w:val="0032765F"/>
    <w:rsid w:val="003277D1"/>
    <w:rsid w:val="00327A32"/>
    <w:rsid w:val="00331C2F"/>
    <w:rsid w:val="003335DA"/>
    <w:rsid w:val="00333A2B"/>
    <w:rsid w:val="0033533D"/>
    <w:rsid w:val="003376EF"/>
    <w:rsid w:val="003378C3"/>
    <w:rsid w:val="00340176"/>
    <w:rsid w:val="0034026E"/>
    <w:rsid w:val="00341799"/>
    <w:rsid w:val="0034296D"/>
    <w:rsid w:val="00343534"/>
    <w:rsid w:val="003435F0"/>
    <w:rsid w:val="0034387B"/>
    <w:rsid w:val="00343B5F"/>
    <w:rsid w:val="00344A95"/>
    <w:rsid w:val="003450CE"/>
    <w:rsid w:val="003476D6"/>
    <w:rsid w:val="00347C7C"/>
    <w:rsid w:val="003559D2"/>
    <w:rsid w:val="0035711D"/>
    <w:rsid w:val="00360977"/>
    <w:rsid w:val="0036430D"/>
    <w:rsid w:val="00367F32"/>
    <w:rsid w:val="00374DE0"/>
    <w:rsid w:val="00375369"/>
    <w:rsid w:val="00375B98"/>
    <w:rsid w:val="00376580"/>
    <w:rsid w:val="0037724E"/>
    <w:rsid w:val="00377CF0"/>
    <w:rsid w:val="00386F89"/>
    <w:rsid w:val="003875B7"/>
    <w:rsid w:val="00390E5A"/>
    <w:rsid w:val="00392884"/>
    <w:rsid w:val="0039432C"/>
    <w:rsid w:val="003944DD"/>
    <w:rsid w:val="00394B90"/>
    <w:rsid w:val="00397E6E"/>
    <w:rsid w:val="003A1FE6"/>
    <w:rsid w:val="003A2CAB"/>
    <w:rsid w:val="003A3B88"/>
    <w:rsid w:val="003A5AC0"/>
    <w:rsid w:val="003A64F5"/>
    <w:rsid w:val="003A6D0C"/>
    <w:rsid w:val="003B01DE"/>
    <w:rsid w:val="003B11AC"/>
    <w:rsid w:val="003B16F2"/>
    <w:rsid w:val="003B2155"/>
    <w:rsid w:val="003B269E"/>
    <w:rsid w:val="003B2F6C"/>
    <w:rsid w:val="003B641E"/>
    <w:rsid w:val="003B7F0D"/>
    <w:rsid w:val="003C2A0A"/>
    <w:rsid w:val="003C3304"/>
    <w:rsid w:val="003C5A93"/>
    <w:rsid w:val="003C64B1"/>
    <w:rsid w:val="003C6695"/>
    <w:rsid w:val="003D3722"/>
    <w:rsid w:val="003D510E"/>
    <w:rsid w:val="003D7B16"/>
    <w:rsid w:val="003E0DC9"/>
    <w:rsid w:val="003E1C63"/>
    <w:rsid w:val="003E2E08"/>
    <w:rsid w:val="003E2F9C"/>
    <w:rsid w:val="003E344B"/>
    <w:rsid w:val="003E5F87"/>
    <w:rsid w:val="003E7160"/>
    <w:rsid w:val="003E7C0A"/>
    <w:rsid w:val="003F129C"/>
    <w:rsid w:val="003F2AEE"/>
    <w:rsid w:val="003F6FB7"/>
    <w:rsid w:val="00400916"/>
    <w:rsid w:val="004009B8"/>
    <w:rsid w:val="00401423"/>
    <w:rsid w:val="004030F8"/>
    <w:rsid w:val="004057AA"/>
    <w:rsid w:val="00405F32"/>
    <w:rsid w:val="00405F4B"/>
    <w:rsid w:val="00411EF7"/>
    <w:rsid w:val="00414917"/>
    <w:rsid w:val="00416ACC"/>
    <w:rsid w:val="0042272E"/>
    <w:rsid w:val="00423F67"/>
    <w:rsid w:val="0042450B"/>
    <w:rsid w:val="00424A82"/>
    <w:rsid w:val="00424B27"/>
    <w:rsid w:val="00424E44"/>
    <w:rsid w:val="0042709F"/>
    <w:rsid w:val="004307DC"/>
    <w:rsid w:val="00431412"/>
    <w:rsid w:val="00432F11"/>
    <w:rsid w:val="004341A4"/>
    <w:rsid w:val="004343FD"/>
    <w:rsid w:val="00440402"/>
    <w:rsid w:val="00441626"/>
    <w:rsid w:val="0044253C"/>
    <w:rsid w:val="0044405D"/>
    <w:rsid w:val="0044518C"/>
    <w:rsid w:val="00447F67"/>
    <w:rsid w:val="00450B7C"/>
    <w:rsid w:val="00453E26"/>
    <w:rsid w:val="004544AD"/>
    <w:rsid w:val="00456405"/>
    <w:rsid w:val="00457BE7"/>
    <w:rsid w:val="00460894"/>
    <w:rsid w:val="00463AC0"/>
    <w:rsid w:val="00464D4A"/>
    <w:rsid w:val="00466C22"/>
    <w:rsid w:val="00466ED7"/>
    <w:rsid w:val="00466F83"/>
    <w:rsid w:val="004729F2"/>
    <w:rsid w:val="0047354A"/>
    <w:rsid w:val="00473898"/>
    <w:rsid w:val="00473DF7"/>
    <w:rsid w:val="00476CE2"/>
    <w:rsid w:val="00477368"/>
    <w:rsid w:val="00477D63"/>
    <w:rsid w:val="00481E9F"/>
    <w:rsid w:val="004826CB"/>
    <w:rsid w:val="00486612"/>
    <w:rsid w:val="004875AA"/>
    <w:rsid w:val="0048771C"/>
    <w:rsid w:val="004902CA"/>
    <w:rsid w:val="00490C99"/>
    <w:rsid w:val="0049139C"/>
    <w:rsid w:val="004930C4"/>
    <w:rsid w:val="004968CB"/>
    <w:rsid w:val="00496FB3"/>
    <w:rsid w:val="004972D4"/>
    <w:rsid w:val="00497D66"/>
    <w:rsid w:val="004A0A40"/>
    <w:rsid w:val="004A1267"/>
    <w:rsid w:val="004B2F60"/>
    <w:rsid w:val="004B39ED"/>
    <w:rsid w:val="004B4697"/>
    <w:rsid w:val="004B471C"/>
    <w:rsid w:val="004B6882"/>
    <w:rsid w:val="004C08EB"/>
    <w:rsid w:val="004C1CBA"/>
    <w:rsid w:val="004C24CD"/>
    <w:rsid w:val="004C3B99"/>
    <w:rsid w:val="004C445F"/>
    <w:rsid w:val="004C5B2D"/>
    <w:rsid w:val="004C6C32"/>
    <w:rsid w:val="004D1867"/>
    <w:rsid w:val="004D1EA3"/>
    <w:rsid w:val="004D3FD7"/>
    <w:rsid w:val="004D4D9C"/>
    <w:rsid w:val="004E1F61"/>
    <w:rsid w:val="004E2A51"/>
    <w:rsid w:val="004E36D6"/>
    <w:rsid w:val="004E568A"/>
    <w:rsid w:val="004E6EDC"/>
    <w:rsid w:val="004F070F"/>
    <w:rsid w:val="004F0A0A"/>
    <w:rsid w:val="004F4F17"/>
    <w:rsid w:val="004F55B5"/>
    <w:rsid w:val="0050141C"/>
    <w:rsid w:val="005022D2"/>
    <w:rsid w:val="00505637"/>
    <w:rsid w:val="005072CD"/>
    <w:rsid w:val="005077FD"/>
    <w:rsid w:val="00510815"/>
    <w:rsid w:val="005134C4"/>
    <w:rsid w:val="0051689B"/>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4EB1"/>
    <w:rsid w:val="005561A2"/>
    <w:rsid w:val="00556C2B"/>
    <w:rsid w:val="00560248"/>
    <w:rsid w:val="0056190C"/>
    <w:rsid w:val="005625BF"/>
    <w:rsid w:val="0056563A"/>
    <w:rsid w:val="00570354"/>
    <w:rsid w:val="005717C5"/>
    <w:rsid w:val="005722D1"/>
    <w:rsid w:val="005729D1"/>
    <w:rsid w:val="0057547B"/>
    <w:rsid w:val="0057656F"/>
    <w:rsid w:val="00577E90"/>
    <w:rsid w:val="00583762"/>
    <w:rsid w:val="00583B7A"/>
    <w:rsid w:val="005913CB"/>
    <w:rsid w:val="005947E2"/>
    <w:rsid w:val="00597266"/>
    <w:rsid w:val="005A12C5"/>
    <w:rsid w:val="005A24E4"/>
    <w:rsid w:val="005A2BDD"/>
    <w:rsid w:val="005A3938"/>
    <w:rsid w:val="005A734D"/>
    <w:rsid w:val="005B0297"/>
    <w:rsid w:val="005B5D5C"/>
    <w:rsid w:val="005C06B0"/>
    <w:rsid w:val="005C2D1D"/>
    <w:rsid w:val="005C3D47"/>
    <w:rsid w:val="005D2AEF"/>
    <w:rsid w:val="005D4382"/>
    <w:rsid w:val="005D471B"/>
    <w:rsid w:val="005D4914"/>
    <w:rsid w:val="005E039D"/>
    <w:rsid w:val="005E09BC"/>
    <w:rsid w:val="005E3C02"/>
    <w:rsid w:val="005F1298"/>
    <w:rsid w:val="005F2A9F"/>
    <w:rsid w:val="005F3075"/>
    <w:rsid w:val="005F386B"/>
    <w:rsid w:val="005F5C57"/>
    <w:rsid w:val="005F5EAE"/>
    <w:rsid w:val="005F64FA"/>
    <w:rsid w:val="005F667A"/>
    <w:rsid w:val="005F78B9"/>
    <w:rsid w:val="00606E70"/>
    <w:rsid w:val="00607646"/>
    <w:rsid w:val="00611611"/>
    <w:rsid w:val="006128B2"/>
    <w:rsid w:val="006137B8"/>
    <w:rsid w:val="00614E49"/>
    <w:rsid w:val="00615E98"/>
    <w:rsid w:val="00617A28"/>
    <w:rsid w:val="00617BBF"/>
    <w:rsid w:val="00622027"/>
    <w:rsid w:val="006227CA"/>
    <w:rsid w:val="00622DE5"/>
    <w:rsid w:val="00625705"/>
    <w:rsid w:val="00626EE8"/>
    <w:rsid w:val="00627299"/>
    <w:rsid w:val="006277B0"/>
    <w:rsid w:val="00632EE1"/>
    <w:rsid w:val="006333C1"/>
    <w:rsid w:val="0063660B"/>
    <w:rsid w:val="006370B8"/>
    <w:rsid w:val="00637799"/>
    <w:rsid w:val="0064198F"/>
    <w:rsid w:val="00643587"/>
    <w:rsid w:val="006478AC"/>
    <w:rsid w:val="0065011B"/>
    <w:rsid w:val="0065046D"/>
    <w:rsid w:val="006514F6"/>
    <w:rsid w:val="006520B6"/>
    <w:rsid w:val="00653999"/>
    <w:rsid w:val="00663B2B"/>
    <w:rsid w:val="00666CD4"/>
    <w:rsid w:val="0067076D"/>
    <w:rsid w:val="00671E4D"/>
    <w:rsid w:val="00675D08"/>
    <w:rsid w:val="00677E55"/>
    <w:rsid w:val="006822C4"/>
    <w:rsid w:val="00685E30"/>
    <w:rsid w:val="00685EB8"/>
    <w:rsid w:val="0068647B"/>
    <w:rsid w:val="006905A7"/>
    <w:rsid w:val="006908DC"/>
    <w:rsid w:val="00691688"/>
    <w:rsid w:val="00695014"/>
    <w:rsid w:val="00695934"/>
    <w:rsid w:val="00696E5F"/>
    <w:rsid w:val="006A04AE"/>
    <w:rsid w:val="006A086C"/>
    <w:rsid w:val="006A726B"/>
    <w:rsid w:val="006A7F32"/>
    <w:rsid w:val="006B0581"/>
    <w:rsid w:val="006B0BA5"/>
    <w:rsid w:val="006B6031"/>
    <w:rsid w:val="006B64DE"/>
    <w:rsid w:val="006B7455"/>
    <w:rsid w:val="006C107E"/>
    <w:rsid w:val="006C1D32"/>
    <w:rsid w:val="006C2E3A"/>
    <w:rsid w:val="006C3E98"/>
    <w:rsid w:val="006C66F4"/>
    <w:rsid w:val="006C6DC5"/>
    <w:rsid w:val="006C72B8"/>
    <w:rsid w:val="006D0EBA"/>
    <w:rsid w:val="006D0FA5"/>
    <w:rsid w:val="006D46EB"/>
    <w:rsid w:val="006D7A67"/>
    <w:rsid w:val="006E0DC0"/>
    <w:rsid w:val="006E11DD"/>
    <w:rsid w:val="006E1C12"/>
    <w:rsid w:val="006E2018"/>
    <w:rsid w:val="006E27B8"/>
    <w:rsid w:val="006E56C3"/>
    <w:rsid w:val="006E5C07"/>
    <w:rsid w:val="006E67E4"/>
    <w:rsid w:val="006F04A0"/>
    <w:rsid w:val="006F1DF3"/>
    <w:rsid w:val="006F2907"/>
    <w:rsid w:val="006F4AA5"/>
    <w:rsid w:val="00700043"/>
    <w:rsid w:val="00701EB8"/>
    <w:rsid w:val="00710C46"/>
    <w:rsid w:val="00712172"/>
    <w:rsid w:val="007138BA"/>
    <w:rsid w:val="00713918"/>
    <w:rsid w:val="00713B5F"/>
    <w:rsid w:val="00713F16"/>
    <w:rsid w:val="00715FEA"/>
    <w:rsid w:val="00716CAF"/>
    <w:rsid w:val="00720A4F"/>
    <w:rsid w:val="007239D2"/>
    <w:rsid w:val="0072535F"/>
    <w:rsid w:val="00726C06"/>
    <w:rsid w:val="007274D5"/>
    <w:rsid w:val="00727E02"/>
    <w:rsid w:val="00736C35"/>
    <w:rsid w:val="0074203B"/>
    <w:rsid w:val="007458C6"/>
    <w:rsid w:val="007467D5"/>
    <w:rsid w:val="00750D0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03C"/>
    <w:rsid w:val="007756AD"/>
    <w:rsid w:val="00775821"/>
    <w:rsid w:val="007760F3"/>
    <w:rsid w:val="007772C6"/>
    <w:rsid w:val="00777A55"/>
    <w:rsid w:val="00777B44"/>
    <w:rsid w:val="007833FE"/>
    <w:rsid w:val="00784CEF"/>
    <w:rsid w:val="00785417"/>
    <w:rsid w:val="00785606"/>
    <w:rsid w:val="00785A16"/>
    <w:rsid w:val="007879E3"/>
    <w:rsid w:val="007977E0"/>
    <w:rsid w:val="007A159A"/>
    <w:rsid w:val="007A33A6"/>
    <w:rsid w:val="007A3AAD"/>
    <w:rsid w:val="007A4186"/>
    <w:rsid w:val="007A5084"/>
    <w:rsid w:val="007A536A"/>
    <w:rsid w:val="007A6096"/>
    <w:rsid w:val="007A675B"/>
    <w:rsid w:val="007B5272"/>
    <w:rsid w:val="007B7ABB"/>
    <w:rsid w:val="007C125A"/>
    <w:rsid w:val="007C197D"/>
    <w:rsid w:val="007C208F"/>
    <w:rsid w:val="007C23F8"/>
    <w:rsid w:val="007C34A2"/>
    <w:rsid w:val="007C7902"/>
    <w:rsid w:val="007D241F"/>
    <w:rsid w:val="007D3779"/>
    <w:rsid w:val="007D4E1B"/>
    <w:rsid w:val="007D4EE8"/>
    <w:rsid w:val="007D5451"/>
    <w:rsid w:val="007E0122"/>
    <w:rsid w:val="007E1031"/>
    <w:rsid w:val="007E4370"/>
    <w:rsid w:val="007E470D"/>
    <w:rsid w:val="007E6040"/>
    <w:rsid w:val="007F1F4B"/>
    <w:rsid w:val="007F7AFF"/>
    <w:rsid w:val="008006B5"/>
    <w:rsid w:val="00800BB4"/>
    <w:rsid w:val="008161BE"/>
    <w:rsid w:val="00817E75"/>
    <w:rsid w:val="00823AA8"/>
    <w:rsid w:val="0082678D"/>
    <w:rsid w:val="00827EC1"/>
    <w:rsid w:val="00830744"/>
    <w:rsid w:val="008321C1"/>
    <w:rsid w:val="008348E1"/>
    <w:rsid w:val="008370AF"/>
    <w:rsid w:val="008405D1"/>
    <w:rsid w:val="0084069F"/>
    <w:rsid w:val="00841C8A"/>
    <w:rsid w:val="00842397"/>
    <w:rsid w:val="00843D6B"/>
    <w:rsid w:val="00845B7F"/>
    <w:rsid w:val="00846BCC"/>
    <w:rsid w:val="0085014A"/>
    <w:rsid w:val="00851B70"/>
    <w:rsid w:val="00852E94"/>
    <w:rsid w:val="00854AF2"/>
    <w:rsid w:val="008550EB"/>
    <w:rsid w:val="008568D0"/>
    <w:rsid w:val="0086075C"/>
    <w:rsid w:val="00863580"/>
    <w:rsid w:val="00864C72"/>
    <w:rsid w:val="00864CCA"/>
    <w:rsid w:val="0086504D"/>
    <w:rsid w:val="0086636E"/>
    <w:rsid w:val="008666B3"/>
    <w:rsid w:val="0086691A"/>
    <w:rsid w:val="008701D8"/>
    <w:rsid w:val="00873137"/>
    <w:rsid w:val="00874574"/>
    <w:rsid w:val="00875DF7"/>
    <w:rsid w:val="008760A2"/>
    <w:rsid w:val="00876919"/>
    <w:rsid w:val="008773F3"/>
    <w:rsid w:val="00881170"/>
    <w:rsid w:val="00885C2D"/>
    <w:rsid w:val="0088753F"/>
    <w:rsid w:val="00890E91"/>
    <w:rsid w:val="00891400"/>
    <w:rsid w:val="00893DAB"/>
    <w:rsid w:val="00893FA7"/>
    <w:rsid w:val="008943FF"/>
    <w:rsid w:val="008A0F34"/>
    <w:rsid w:val="008A5463"/>
    <w:rsid w:val="008A71B5"/>
    <w:rsid w:val="008A79F3"/>
    <w:rsid w:val="008A7B92"/>
    <w:rsid w:val="008B0EEC"/>
    <w:rsid w:val="008B138C"/>
    <w:rsid w:val="008B2057"/>
    <w:rsid w:val="008B32B1"/>
    <w:rsid w:val="008B503F"/>
    <w:rsid w:val="008B6ADF"/>
    <w:rsid w:val="008C3972"/>
    <w:rsid w:val="008C54A0"/>
    <w:rsid w:val="008C5DFD"/>
    <w:rsid w:val="008C69B9"/>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8F7652"/>
    <w:rsid w:val="0090734D"/>
    <w:rsid w:val="009077E0"/>
    <w:rsid w:val="00907C7F"/>
    <w:rsid w:val="009124AC"/>
    <w:rsid w:val="00912A60"/>
    <w:rsid w:val="0091322A"/>
    <w:rsid w:val="0091591F"/>
    <w:rsid w:val="009208CA"/>
    <w:rsid w:val="00926C17"/>
    <w:rsid w:val="00927745"/>
    <w:rsid w:val="00930E16"/>
    <w:rsid w:val="009313C8"/>
    <w:rsid w:val="0093552D"/>
    <w:rsid w:val="00935A79"/>
    <w:rsid w:val="00937D02"/>
    <w:rsid w:val="00941EBE"/>
    <w:rsid w:val="00943569"/>
    <w:rsid w:val="00946299"/>
    <w:rsid w:val="00950BAA"/>
    <w:rsid w:val="00950FC5"/>
    <w:rsid w:val="00951B5C"/>
    <w:rsid w:val="0095596B"/>
    <w:rsid w:val="009572DD"/>
    <w:rsid w:val="009623AC"/>
    <w:rsid w:val="009642D3"/>
    <w:rsid w:val="00965062"/>
    <w:rsid w:val="00965A79"/>
    <w:rsid w:val="00976D98"/>
    <w:rsid w:val="00977314"/>
    <w:rsid w:val="00977EC9"/>
    <w:rsid w:val="00982F2A"/>
    <w:rsid w:val="00985E5A"/>
    <w:rsid w:val="00986892"/>
    <w:rsid w:val="00990979"/>
    <w:rsid w:val="00992E72"/>
    <w:rsid w:val="00995C69"/>
    <w:rsid w:val="009960C2"/>
    <w:rsid w:val="00997013"/>
    <w:rsid w:val="009A4515"/>
    <w:rsid w:val="009A54D0"/>
    <w:rsid w:val="009B0212"/>
    <w:rsid w:val="009B261D"/>
    <w:rsid w:val="009B78A3"/>
    <w:rsid w:val="009C1E77"/>
    <w:rsid w:val="009C3888"/>
    <w:rsid w:val="009D0F0F"/>
    <w:rsid w:val="009D2901"/>
    <w:rsid w:val="009D3BEA"/>
    <w:rsid w:val="009D5301"/>
    <w:rsid w:val="009D7B3A"/>
    <w:rsid w:val="009E0389"/>
    <w:rsid w:val="009E157A"/>
    <w:rsid w:val="009E2AC7"/>
    <w:rsid w:val="009E3333"/>
    <w:rsid w:val="009F01AE"/>
    <w:rsid w:val="009F1FFF"/>
    <w:rsid w:val="009F5426"/>
    <w:rsid w:val="00A00A7E"/>
    <w:rsid w:val="00A01344"/>
    <w:rsid w:val="00A02D8E"/>
    <w:rsid w:val="00A02F5B"/>
    <w:rsid w:val="00A06CF9"/>
    <w:rsid w:val="00A072E7"/>
    <w:rsid w:val="00A07EED"/>
    <w:rsid w:val="00A1036A"/>
    <w:rsid w:val="00A109F4"/>
    <w:rsid w:val="00A11D4D"/>
    <w:rsid w:val="00A122C8"/>
    <w:rsid w:val="00A136CE"/>
    <w:rsid w:val="00A142D0"/>
    <w:rsid w:val="00A15441"/>
    <w:rsid w:val="00A16B4D"/>
    <w:rsid w:val="00A2057F"/>
    <w:rsid w:val="00A26178"/>
    <w:rsid w:val="00A2633E"/>
    <w:rsid w:val="00A33AB4"/>
    <w:rsid w:val="00A3611A"/>
    <w:rsid w:val="00A412AA"/>
    <w:rsid w:val="00A423E3"/>
    <w:rsid w:val="00A46421"/>
    <w:rsid w:val="00A471BF"/>
    <w:rsid w:val="00A515F0"/>
    <w:rsid w:val="00A529B0"/>
    <w:rsid w:val="00A54D12"/>
    <w:rsid w:val="00A5670B"/>
    <w:rsid w:val="00A6159E"/>
    <w:rsid w:val="00A61985"/>
    <w:rsid w:val="00A632A3"/>
    <w:rsid w:val="00A71218"/>
    <w:rsid w:val="00A722AE"/>
    <w:rsid w:val="00A7443D"/>
    <w:rsid w:val="00A75365"/>
    <w:rsid w:val="00A77C9C"/>
    <w:rsid w:val="00A81FEC"/>
    <w:rsid w:val="00A84E71"/>
    <w:rsid w:val="00A85925"/>
    <w:rsid w:val="00A860A7"/>
    <w:rsid w:val="00A86BE7"/>
    <w:rsid w:val="00A91A8E"/>
    <w:rsid w:val="00A9296A"/>
    <w:rsid w:val="00A92D73"/>
    <w:rsid w:val="00A93530"/>
    <w:rsid w:val="00A943FF"/>
    <w:rsid w:val="00A94CE4"/>
    <w:rsid w:val="00A96D46"/>
    <w:rsid w:val="00AA0864"/>
    <w:rsid w:val="00AA372B"/>
    <w:rsid w:val="00AA37FF"/>
    <w:rsid w:val="00AA4D22"/>
    <w:rsid w:val="00AB0BE7"/>
    <w:rsid w:val="00AB2FC7"/>
    <w:rsid w:val="00AB3BA3"/>
    <w:rsid w:val="00AB3D20"/>
    <w:rsid w:val="00AB7DB8"/>
    <w:rsid w:val="00AC0146"/>
    <w:rsid w:val="00AC04D3"/>
    <w:rsid w:val="00AC09DF"/>
    <w:rsid w:val="00AC159B"/>
    <w:rsid w:val="00AC180D"/>
    <w:rsid w:val="00AC298B"/>
    <w:rsid w:val="00AC406F"/>
    <w:rsid w:val="00AC5562"/>
    <w:rsid w:val="00AD15BF"/>
    <w:rsid w:val="00AD2140"/>
    <w:rsid w:val="00AD5031"/>
    <w:rsid w:val="00AE117D"/>
    <w:rsid w:val="00AE335E"/>
    <w:rsid w:val="00AE5F98"/>
    <w:rsid w:val="00AE6557"/>
    <w:rsid w:val="00AF3DFA"/>
    <w:rsid w:val="00AF4357"/>
    <w:rsid w:val="00AF48EB"/>
    <w:rsid w:val="00AF5EE4"/>
    <w:rsid w:val="00AF62D1"/>
    <w:rsid w:val="00B00090"/>
    <w:rsid w:val="00B002F2"/>
    <w:rsid w:val="00B016B2"/>
    <w:rsid w:val="00B02BAC"/>
    <w:rsid w:val="00B04009"/>
    <w:rsid w:val="00B05C4A"/>
    <w:rsid w:val="00B06DD9"/>
    <w:rsid w:val="00B13224"/>
    <w:rsid w:val="00B13E0C"/>
    <w:rsid w:val="00B13FAC"/>
    <w:rsid w:val="00B14437"/>
    <w:rsid w:val="00B158BE"/>
    <w:rsid w:val="00B174B8"/>
    <w:rsid w:val="00B25544"/>
    <w:rsid w:val="00B255BA"/>
    <w:rsid w:val="00B3091D"/>
    <w:rsid w:val="00B31506"/>
    <w:rsid w:val="00B3294B"/>
    <w:rsid w:val="00B340AE"/>
    <w:rsid w:val="00B37551"/>
    <w:rsid w:val="00B4029D"/>
    <w:rsid w:val="00B41AC8"/>
    <w:rsid w:val="00B41B20"/>
    <w:rsid w:val="00B43A70"/>
    <w:rsid w:val="00B446DA"/>
    <w:rsid w:val="00B46E58"/>
    <w:rsid w:val="00B51A27"/>
    <w:rsid w:val="00B52323"/>
    <w:rsid w:val="00B52754"/>
    <w:rsid w:val="00B538AB"/>
    <w:rsid w:val="00B54392"/>
    <w:rsid w:val="00B55059"/>
    <w:rsid w:val="00B5540A"/>
    <w:rsid w:val="00B56B61"/>
    <w:rsid w:val="00B56D4E"/>
    <w:rsid w:val="00B577E3"/>
    <w:rsid w:val="00B608AE"/>
    <w:rsid w:val="00B61EB0"/>
    <w:rsid w:val="00B65B2D"/>
    <w:rsid w:val="00B713F8"/>
    <w:rsid w:val="00B72194"/>
    <w:rsid w:val="00B74654"/>
    <w:rsid w:val="00B82816"/>
    <w:rsid w:val="00B83C5B"/>
    <w:rsid w:val="00B8588F"/>
    <w:rsid w:val="00B86C58"/>
    <w:rsid w:val="00B90EF7"/>
    <w:rsid w:val="00B91C9E"/>
    <w:rsid w:val="00B934D4"/>
    <w:rsid w:val="00B95500"/>
    <w:rsid w:val="00B96805"/>
    <w:rsid w:val="00BA67DA"/>
    <w:rsid w:val="00BA7B39"/>
    <w:rsid w:val="00BB1D0F"/>
    <w:rsid w:val="00BB2970"/>
    <w:rsid w:val="00BB33F6"/>
    <w:rsid w:val="00BB7DB1"/>
    <w:rsid w:val="00BC2E51"/>
    <w:rsid w:val="00BC42F7"/>
    <w:rsid w:val="00BC5F63"/>
    <w:rsid w:val="00BC6934"/>
    <w:rsid w:val="00BD020A"/>
    <w:rsid w:val="00BD0AB5"/>
    <w:rsid w:val="00BD4EE4"/>
    <w:rsid w:val="00BD5234"/>
    <w:rsid w:val="00BD5E5E"/>
    <w:rsid w:val="00BE183E"/>
    <w:rsid w:val="00BE4871"/>
    <w:rsid w:val="00BE5334"/>
    <w:rsid w:val="00BF3947"/>
    <w:rsid w:val="00BF4C9B"/>
    <w:rsid w:val="00BF4F04"/>
    <w:rsid w:val="00BF5875"/>
    <w:rsid w:val="00C049E1"/>
    <w:rsid w:val="00C0755A"/>
    <w:rsid w:val="00C0785A"/>
    <w:rsid w:val="00C110EF"/>
    <w:rsid w:val="00C11231"/>
    <w:rsid w:val="00C11C43"/>
    <w:rsid w:val="00C140BA"/>
    <w:rsid w:val="00C179B0"/>
    <w:rsid w:val="00C20321"/>
    <w:rsid w:val="00C21CA3"/>
    <w:rsid w:val="00C23E99"/>
    <w:rsid w:val="00C26A3E"/>
    <w:rsid w:val="00C26C38"/>
    <w:rsid w:val="00C2733D"/>
    <w:rsid w:val="00C3242F"/>
    <w:rsid w:val="00C33B5E"/>
    <w:rsid w:val="00C34EB5"/>
    <w:rsid w:val="00C35E05"/>
    <w:rsid w:val="00C35F16"/>
    <w:rsid w:val="00C3745A"/>
    <w:rsid w:val="00C37C4F"/>
    <w:rsid w:val="00C4017B"/>
    <w:rsid w:val="00C40430"/>
    <w:rsid w:val="00C418C2"/>
    <w:rsid w:val="00C42102"/>
    <w:rsid w:val="00C445F2"/>
    <w:rsid w:val="00C45A1E"/>
    <w:rsid w:val="00C46FE6"/>
    <w:rsid w:val="00C50DFF"/>
    <w:rsid w:val="00C50F91"/>
    <w:rsid w:val="00C51F05"/>
    <w:rsid w:val="00C54FFF"/>
    <w:rsid w:val="00C55B7A"/>
    <w:rsid w:val="00C5640D"/>
    <w:rsid w:val="00C564A1"/>
    <w:rsid w:val="00C57ECA"/>
    <w:rsid w:val="00C60770"/>
    <w:rsid w:val="00C61D2F"/>
    <w:rsid w:val="00C648C0"/>
    <w:rsid w:val="00C6574D"/>
    <w:rsid w:val="00C66C68"/>
    <w:rsid w:val="00C67871"/>
    <w:rsid w:val="00C72640"/>
    <w:rsid w:val="00C736D5"/>
    <w:rsid w:val="00C73CBB"/>
    <w:rsid w:val="00C759D1"/>
    <w:rsid w:val="00C75DAF"/>
    <w:rsid w:val="00C77D3F"/>
    <w:rsid w:val="00C80567"/>
    <w:rsid w:val="00C8181A"/>
    <w:rsid w:val="00C84422"/>
    <w:rsid w:val="00C92950"/>
    <w:rsid w:val="00CA4BBD"/>
    <w:rsid w:val="00CA77DA"/>
    <w:rsid w:val="00CB355F"/>
    <w:rsid w:val="00CB35C5"/>
    <w:rsid w:val="00CB3A02"/>
    <w:rsid w:val="00CC0F1A"/>
    <w:rsid w:val="00CC177A"/>
    <w:rsid w:val="00CC1A0B"/>
    <w:rsid w:val="00CC23AB"/>
    <w:rsid w:val="00CC5737"/>
    <w:rsid w:val="00CC5BF4"/>
    <w:rsid w:val="00CD017A"/>
    <w:rsid w:val="00CD0A90"/>
    <w:rsid w:val="00CD1204"/>
    <w:rsid w:val="00CD297F"/>
    <w:rsid w:val="00CD2D59"/>
    <w:rsid w:val="00CD39BC"/>
    <w:rsid w:val="00CD3EBE"/>
    <w:rsid w:val="00CD6A8D"/>
    <w:rsid w:val="00CD79BF"/>
    <w:rsid w:val="00CE2051"/>
    <w:rsid w:val="00CE58B0"/>
    <w:rsid w:val="00CE5FF5"/>
    <w:rsid w:val="00CE6F64"/>
    <w:rsid w:val="00CE7473"/>
    <w:rsid w:val="00CF049A"/>
    <w:rsid w:val="00CF249D"/>
    <w:rsid w:val="00CF6005"/>
    <w:rsid w:val="00D00751"/>
    <w:rsid w:val="00D00DEA"/>
    <w:rsid w:val="00D037F9"/>
    <w:rsid w:val="00D039FA"/>
    <w:rsid w:val="00D05B6A"/>
    <w:rsid w:val="00D06DC4"/>
    <w:rsid w:val="00D119F7"/>
    <w:rsid w:val="00D142FA"/>
    <w:rsid w:val="00D145EA"/>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4E46"/>
    <w:rsid w:val="00D4500C"/>
    <w:rsid w:val="00D523ED"/>
    <w:rsid w:val="00D52E90"/>
    <w:rsid w:val="00D54525"/>
    <w:rsid w:val="00D54D51"/>
    <w:rsid w:val="00D55605"/>
    <w:rsid w:val="00D56403"/>
    <w:rsid w:val="00D6038A"/>
    <w:rsid w:val="00D60AF8"/>
    <w:rsid w:val="00D614FB"/>
    <w:rsid w:val="00D63B94"/>
    <w:rsid w:val="00D64A20"/>
    <w:rsid w:val="00D65377"/>
    <w:rsid w:val="00D66F94"/>
    <w:rsid w:val="00D706F5"/>
    <w:rsid w:val="00D76089"/>
    <w:rsid w:val="00D76E0D"/>
    <w:rsid w:val="00D7794C"/>
    <w:rsid w:val="00D8190E"/>
    <w:rsid w:val="00D83AEE"/>
    <w:rsid w:val="00D853A4"/>
    <w:rsid w:val="00D91573"/>
    <w:rsid w:val="00D923AA"/>
    <w:rsid w:val="00D92A45"/>
    <w:rsid w:val="00D92B2D"/>
    <w:rsid w:val="00D92D3F"/>
    <w:rsid w:val="00D93B1C"/>
    <w:rsid w:val="00D93DB5"/>
    <w:rsid w:val="00D94E8D"/>
    <w:rsid w:val="00D95250"/>
    <w:rsid w:val="00DA0400"/>
    <w:rsid w:val="00DA07BA"/>
    <w:rsid w:val="00DA3894"/>
    <w:rsid w:val="00DA3D41"/>
    <w:rsid w:val="00DA4558"/>
    <w:rsid w:val="00DA6F8F"/>
    <w:rsid w:val="00DA7A32"/>
    <w:rsid w:val="00DB21A5"/>
    <w:rsid w:val="00DB447A"/>
    <w:rsid w:val="00DB45A9"/>
    <w:rsid w:val="00DB4D96"/>
    <w:rsid w:val="00DC15DF"/>
    <w:rsid w:val="00DC20D5"/>
    <w:rsid w:val="00DC2BBD"/>
    <w:rsid w:val="00DC51F2"/>
    <w:rsid w:val="00DC6638"/>
    <w:rsid w:val="00DD1C0B"/>
    <w:rsid w:val="00DD6295"/>
    <w:rsid w:val="00DE0E8D"/>
    <w:rsid w:val="00DE4B0B"/>
    <w:rsid w:val="00DE5BA7"/>
    <w:rsid w:val="00DE6532"/>
    <w:rsid w:val="00DF2887"/>
    <w:rsid w:val="00DF2F42"/>
    <w:rsid w:val="00DF3A58"/>
    <w:rsid w:val="00DF414A"/>
    <w:rsid w:val="00DF61A9"/>
    <w:rsid w:val="00E02E80"/>
    <w:rsid w:val="00E03496"/>
    <w:rsid w:val="00E04473"/>
    <w:rsid w:val="00E04A73"/>
    <w:rsid w:val="00E0553F"/>
    <w:rsid w:val="00E11A30"/>
    <w:rsid w:val="00E13C37"/>
    <w:rsid w:val="00E144E0"/>
    <w:rsid w:val="00E16138"/>
    <w:rsid w:val="00E16797"/>
    <w:rsid w:val="00E16D72"/>
    <w:rsid w:val="00E20F8D"/>
    <w:rsid w:val="00E23223"/>
    <w:rsid w:val="00E23927"/>
    <w:rsid w:val="00E25874"/>
    <w:rsid w:val="00E2799A"/>
    <w:rsid w:val="00E3000F"/>
    <w:rsid w:val="00E31A50"/>
    <w:rsid w:val="00E3329D"/>
    <w:rsid w:val="00E364C6"/>
    <w:rsid w:val="00E4032A"/>
    <w:rsid w:val="00E41CB2"/>
    <w:rsid w:val="00E431A1"/>
    <w:rsid w:val="00E434B4"/>
    <w:rsid w:val="00E4750A"/>
    <w:rsid w:val="00E47862"/>
    <w:rsid w:val="00E521D4"/>
    <w:rsid w:val="00E53781"/>
    <w:rsid w:val="00E5421D"/>
    <w:rsid w:val="00E57180"/>
    <w:rsid w:val="00E623F7"/>
    <w:rsid w:val="00E64901"/>
    <w:rsid w:val="00E65195"/>
    <w:rsid w:val="00E65196"/>
    <w:rsid w:val="00E65367"/>
    <w:rsid w:val="00E6555D"/>
    <w:rsid w:val="00E65863"/>
    <w:rsid w:val="00E660F9"/>
    <w:rsid w:val="00E67535"/>
    <w:rsid w:val="00E719BC"/>
    <w:rsid w:val="00E71A8B"/>
    <w:rsid w:val="00E724E1"/>
    <w:rsid w:val="00E72AD1"/>
    <w:rsid w:val="00E72D99"/>
    <w:rsid w:val="00E739C0"/>
    <w:rsid w:val="00E76C00"/>
    <w:rsid w:val="00E815A6"/>
    <w:rsid w:val="00E825A1"/>
    <w:rsid w:val="00E83167"/>
    <w:rsid w:val="00E843D0"/>
    <w:rsid w:val="00E857BB"/>
    <w:rsid w:val="00E868CA"/>
    <w:rsid w:val="00E9206B"/>
    <w:rsid w:val="00E93667"/>
    <w:rsid w:val="00E944B2"/>
    <w:rsid w:val="00E96804"/>
    <w:rsid w:val="00EA18D1"/>
    <w:rsid w:val="00EA29A0"/>
    <w:rsid w:val="00EA2C87"/>
    <w:rsid w:val="00EA364B"/>
    <w:rsid w:val="00EA6DEA"/>
    <w:rsid w:val="00EA7D5B"/>
    <w:rsid w:val="00EB6131"/>
    <w:rsid w:val="00EC1553"/>
    <w:rsid w:val="00EC6465"/>
    <w:rsid w:val="00EC6DD1"/>
    <w:rsid w:val="00ED0188"/>
    <w:rsid w:val="00ED0395"/>
    <w:rsid w:val="00ED1C9E"/>
    <w:rsid w:val="00ED625D"/>
    <w:rsid w:val="00EE0F70"/>
    <w:rsid w:val="00EE1412"/>
    <w:rsid w:val="00EE145D"/>
    <w:rsid w:val="00EE1826"/>
    <w:rsid w:val="00EE1A32"/>
    <w:rsid w:val="00EE1FB6"/>
    <w:rsid w:val="00EE2409"/>
    <w:rsid w:val="00EE3E2C"/>
    <w:rsid w:val="00EE54D4"/>
    <w:rsid w:val="00EE7321"/>
    <w:rsid w:val="00EE74ED"/>
    <w:rsid w:val="00EE782B"/>
    <w:rsid w:val="00EE7D60"/>
    <w:rsid w:val="00EE7E76"/>
    <w:rsid w:val="00EE7EF4"/>
    <w:rsid w:val="00EF3CEC"/>
    <w:rsid w:val="00EF5AB4"/>
    <w:rsid w:val="00EF5D4D"/>
    <w:rsid w:val="00F05939"/>
    <w:rsid w:val="00F075F6"/>
    <w:rsid w:val="00F1169B"/>
    <w:rsid w:val="00F13218"/>
    <w:rsid w:val="00F15028"/>
    <w:rsid w:val="00F17B86"/>
    <w:rsid w:val="00F20B1F"/>
    <w:rsid w:val="00F21FCF"/>
    <w:rsid w:val="00F27A74"/>
    <w:rsid w:val="00F3139A"/>
    <w:rsid w:val="00F32DCD"/>
    <w:rsid w:val="00F32FEB"/>
    <w:rsid w:val="00F343C7"/>
    <w:rsid w:val="00F351C5"/>
    <w:rsid w:val="00F35E8F"/>
    <w:rsid w:val="00F36EBC"/>
    <w:rsid w:val="00F371D0"/>
    <w:rsid w:val="00F375DB"/>
    <w:rsid w:val="00F3767D"/>
    <w:rsid w:val="00F37A2D"/>
    <w:rsid w:val="00F40FCD"/>
    <w:rsid w:val="00F410E7"/>
    <w:rsid w:val="00F41C41"/>
    <w:rsid w:val="00F41F8F"/>
    <w:rsid w:val="00F43204"/>
    <w:rsid w:val="00F43C5E"/>
    <w:rsid w:val="00F444BD"/>
    <w:rsid w:val="00F44CA7"/>
    <w:rsid w:val="00F460A5"/>
    <w:rsid w:val="00F473B1"/>
    <w:rsid w:val="00F479B0"/>
    <w:rsid w:val="00F47BC3"/>
    <w:rsid w:val="00F52EF7"/>
    <w:rsid w:val="00F53061"/>
    <w:rsid w:val="00F60A51"/>
    <w:rsid w:val="00F66F52"/>
    <w:rsid w:val="00F67DEA"/>
    <w:rsid w:val="00F72BBD"/>
    <w:rsid w:val="00F74493"/>
    <w:rsid w:val="00F74E34"/>
    <w:rsid w:val="00F75BD1"/>
    <w:rsid w:val="00F76CA9"/>
    <w:rsid w:val="00F77DBA"/>
    <w:rsid w:val="00F81A70"/>
    <w:rsid w:val="00F81EB1"/>
    <w:rsid w:val="00F82254"/>
    <w:rsid w:val="00F84197"/>
    <w:rsid w:val="00F84524"/>
    <w:rsid w:val="00F864C7"/>
    <w:rsid w:val="00F867AE"/>
    <w:rsid w:val="00F87B64"/>
    <w:rsid w:val="00F905F8"/>
    <w:rsid w:val="00F925CF"/>
    <w:rsid w:val="00F92DA9"/>
    <w:rsid w:val="00F93C54"/>
    <w:rsid w:val="00F951A0"/>
    <w:rsid w:val="00FB0E51"/>
    <w:rsid w:val="00FB22E3"/>
    <w:rsid w:val="00FB2E05"/>
    <w:rsid w:val="00FB2FB5"/>
    <w:rsid w:val="00FB6F98"/>
    <w:rsid w:val="00FC0ADE"/>
    <w:rsid w:val="00FC56D3"/>
    <w:rsid w:val="00FD0516"/>
    <w:rsid w:val="00FD1271"/>
    <w:rsid w:val="00FD238D"/>
    <w:rsid w:val="00FD4641"/>
    <w:rsid w:val="00FD606B"/>
    <w:rsid w:val="00FD7C3C"/>
    <w:rsid w:val="00FE4E78"/>
    <w:rsid w:val="00FE66BC"/>
    <w:rsid w:val="00FF0629"/>
    <w:rsid w:val="00FF28E9"/>
    <w:rsid w:val="00FF2CD4"/>
    <w:rsid w:val="00FF36FB"/>
    <w:rsid w:val="00FF5797"/>
    <w:rsid w:val="00FF6A09"/>
    <w:rsid w:val="00FF6B8F"/>
    <w:rsid w:val="00FF7434"/>
    <w:rsid w:val="0E60787B"/>
    <w:rsid w:val="13934949"/>
    <w:rsid w:val="14C8B368"/>
    <w:rsid w:val="1640979D"/>
    <w:rsid w:val="23845545"/>
    <w:rsid w:val="24F1D1F6"/>
    <w:rsid w:val="36FB0BE8"/>
    <w:rsid w:val="3EB478DB"/>
    <w:rsid w:val="40E82369"/>
    <w:rsid w:val="41176CBD"/>
    <w:rsid w:val="4820553E"/>
    <w:rsid w:val="4B16B229"/>
    <w:rsid w:val="4BF0C104"/>
    <w:rsid w:val="4CB601AF"/>
    <w:rsid w:val="539C00B1"/>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1A4471AF-897D-4DDB-B3C8-5D121C1E8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3F129C"/>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3F129C"/>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customStyle="1" w:styleId="UnresolvedMention2">
    <w:name w:val="Unresolved Mention2"/>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styleId="UnresolvedMention">
    <w:name w:val="Unresolved Mention"/>
    <w:basedOn w:val="DefaultParagraphFont"/>
    <w:uiPriority w:val="99"/>
    <w:semiHidden/>
    <w:unhideWhenUsed/>
    <w:rsid w:val="004826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1232236579">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966668721">
          <w:marLeft w:val="1022"/>
          <w:marRight w:val="0"/>
          <w:marTop w:val="0"/>
          <w:marBottom w:val="120"/>
          <w:divBdr>
            <w:top w:val="none" w:sz="0" w:space="0" w:color="auto"/>
            <w:left w:val="none" w:sz="0" w:space="0" w:color="auto"/>
            <w:bottom w:val="none" w:sz="0" w:space="0" w:color="auto"/>
            <w:right w:val="none" w:sz="0" w:space="0" w:color="auto"/>
          </w:divBdr>
        </w:div>
        <w:div w:id="1482190568">
          <w:marLeft w:val="446"/>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828206301">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ionalgrideso.com/document/293566/download" TargetMode="External"/><Relationship Id="rId18" Type="http://schemas.openxmlformats.org/officeDocument/2006/relationships/hyperlink" Target="https://www.nationalgrideso.com/industry-information/codes/cusc/modifications/cmp435-application-gate-2-criteria-existing-contracted-background"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nationalgrideso.com/industry-information/codes/cusc/modifications/cmp376-inclusion-queue-management-process-within-cusc" TargetMode="External"/><Relationship Id="rId17" Type="http://schemas.openxmlformats.org/officeDocument/2006/relationships/hyperlink" Target="https://www.nationalgrideso.com/industry-information/codes/cusc/modifications/cmp435-application-gate-2-criteria-existing-contracted-background" TargetMode="External"/><Relationship Id="rId2" Type="http://schemas.openxmlformats.org/officeDocument/2006/relationships/customXml" Target="../customXml/item2.xml"/><Relationship Id="rId16" Type="http://schemas.openxmlformats.org/officeDocument/2006/relationships/hyperlink" Target="https://www.nationalgrideso.com/industry-information/codes/cusc/modifications/cmp435-application-gate-2-criteria-existing-contracted-background" TargetMode="External"/><Relationship Id="rId20" Type="http://schemas.openxmlformats.org/officeDocument/2006/relationships/hyperlink" Target="https://www.nationalgrideso.com/document/293566/downloa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ionalgrideso.com/industry-information/codes/cusc/modifications/cmp376-inclusion-queue-management-process-within-cusc"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ationalgrideso.com/industry-information/codes/cusc/modifications/cmp435-application-gate-2-criteria-existing-contracted-background"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nationalgrideso.com/industry-information/codes/cusc/modifications/cmp376-inclusion-queue-management-process-within-cus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ationalgrideso.com/industry-information/codes/cusc/modifications/cmp376-inclusion-queue-management-process-within-cusc"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documentManagement>
</p:properties>
</file>

<file path=customXml/itemProps1.xml><?xml version="1.0" encoding="utf-8"?>
<ds:datastoreItem xmlns:ds="http://schemas.openxmlformats.org/officeDocument/2006/customXml" ds:itemID="{0B974838-EFFA-4A44-AD42-E632F3A87F61}">
  <ds:schemaRefs>
    <ds:schemaRef ds:uri="http://schemas.openxmlformats.org/officeDocument/2006/bibliography"/>
  </ds:schemaRefs>
</ds:datastoreItem>
</file>

<file path=customXml/itemProps2.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3.xml><?xml version="1.0" encoding="utf-8"?>
<ds:datastoreItem xmlns:ds="http://schemas.openxmlformats.org/officeDocument/2006/customXml" ds:itemID="{FD11CA09-FFEE-41E1-829D-3EF9B4921D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AA0166-D6D4-4352-9553-1A186A31CB65}">
  <ds:schemaRefs>
    <ds:schemaRef ds:uri="http://schemas.microsoft.com/office/2006/metadata/properties"/>
    <ds:schemaRef ds:uri="f71abe4e-f5ff-49cd-8eff-5f4949acc510"/>
    <ds:schemaRef ds:uri="http://schemas.microsoft.com/office/2006/documentManagement/types"/>
    <ds:schemaRef ds:uri="http://schemas.microsoft.com/office/infopath/2007/PartnerControls"/>
    <ds:schemaRef ds:uri="http://purl.org/dc/terms/"/>
    <ds:schemaRef ds:uri="http://purl.org/dc/dcmitype/"/>
    <ds:schemaRef ds:uri="http://schemas.openxmlformats.org/package/2006/metadata/core-properties"/>
    <ds:schemaRef ds:uri="http://purl.org/dc/elements/1.1/"/>
    <ds:schemaRef ds:uri="cadce026-d35b-4a62-a2ee-1436bb44fb55"/>
    <ds:schemaRef ds:uri="97b6fe81-1556-4112-94ca-31043ca39b7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Template>
  <TotalTime>2</TotalTime>
  <Pages>4</Pages>
  <Words>952</Words>
  <Characters>5432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Proposal Form</vt:lpstr>
    </vt:vector>
  </TitlesOfParts>
  <Company>CE Electric UK</Company>
  <LinksUpToDate>false</LinksUpToDate>
  <CharactersWithSpaces>6372</CharactersWithSpaces>
  <SharedDoc>false</SharedDoc>
  <HLinks>
    <vt:vector size="24" baseType="variant">
      <vt:variant>
        <vt:i4>5242961</vt:i4>
      </vt:variant>
      <vt:variant>
        <vt:i4>9</vt:i4>
      </vt:variant>
      <vt:variant>
        <vt:i4>0</vt:i4>
      </vt:variant>
      <vt:variant>
        <vt:i4>5</vt:i4>
      </vt:variant>
      <vt:variant>
        <vt:lpwstr>https://www.nationalgrideso.com/document/293566/download</vt:lpwstr>
      </vt:variant>
      <vt:variant>
        <vt:lpwstr/>
      </vt:variant>
      <vt:variant>
        <vt:i4>3276840</vt:i4>
      </vt:variant>
      <vt:variant>
        <vt:i4>6</vt:i4>
      </vt:variant>
      <vt:variant>
        <vt:i4>0</vt:i4>
      </vt:variant>
      <vt:variant>
        <vt:i4>5</vt:i4>
      </vt:variant>
      <vt:variant>
        <vt:lpwstr>https://www.nationalgrideso.com/industry-information/codes/cusc/modifications/cmp376-inclusion-queue-management-process-within-cusc</vt:lpwstr>
      </vt:variant>
      <vt:variant>
        <vt:lpwstr/>
      </vt:variant>
      <vt:variant>
        <vt:i4>5242961</vt:i4>
      </vt:variant>
      <vt:variant>
        <vt:i4>3</vt:i4>
      </vt:variant>
      <vt:variant>
        <vt:i4>0</vt:i4>
      </vt:variant>
      <vt:variant>
        <vt:i4>5</vt:i4>
      </vt:variant>
      <vt:variant>
        <vt:lpwstr>https://www.nationalgrideso.com/document/293566/download</vt:lpwstr>
      </vt:variant>
      <vt:variant>
        <vt:lpwstr/>
      </vt:variant>
      <vt:variant>
        <vt:i4>3276840</vt:i4>
      </vt:variant>
      <vt:variant>
        <vt:i4>0</vt:i4>
      </vt:variant>
      <vt:variant>
        <vt:i4>0</vt:i4>
      </vt:variant>
      <vt:variant>
        <vt:i4>5</vt:i4>
      </vt:variant>
      <vt:variant>
        <vt:lpwstr>https://www.nationalgrideso.com/industry-information/codes/cusc/modifications/cmp376-inclusion-queue-management-process-within-cusc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Form</dc:title>
  <dc:subject/>
  <dc:creator>Guidance</dc:creator>
  <cp:keywords/>
  <cp:lastModifiedBy>Lizzie Timmins (ESO)</cp:lastModifiedBy>
  <cp:revision>2</cp:revision>
  <cp:lastPrinted>2020-02-07T05:28:00Z</cp:lastPrinted>
  <dcterms:created xsi:type="dcterms:W3CDTF">2024-08-08T10:27:00Z</dcterms:created>
  <dcterms:modified xsi:type="dcterms:W3CDTF">2024-08-08T10:27:00Z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0x010100731349D1BA3AE644822E919809003BBB</vt:lpwstr>
  </property>
  <property fmtid="{D5CDD505-2E9C-101B-9397-08002B2CF9AE}" pid="3" name="_NewReviewCycle">
    <vt:lpwstr/>
  </property>
  <property fmtid="{D5CDD505-2E9C-101B-9397-08002B2CF9AE}" pid="4" name="MediaServiceImageTags">
    <vt:lpwstr/>
  </property>
</Properties>
</file>