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commentRangeStart w:id="0"/>
            <w:r>
              <w:rPr>
                <w:rFonts w:cs="Arial"/>
                <w:b/>
                <w:sz w:val="28"/>
                <w:szCs w:val="28"/>
              </w:rPr>
              <w:t>Grid Code</w:t>
            </w:r>
            <w:r w:rsidR="00EE54D4">
              <w:rPr>
                <w:rFonts w:cs="Arial"/>
                <w:b/>
                <w:sz w:val="28"/>
                <w:szCs w:val="28"/>
              </w:rPr>
              <w:t xml:space="preserve"> Alternative Form</w:t>
            </w:r>
            <w:commentRangeEnd w:id="0"/>
            <w:r w:rsidR="00666CD4">
              <w:rPr>
                <w:rStyle w:val="CommentReference"/>
                <w:color w:val="auto"/>
              </w:rPr>
              <w:commentReference w:id="0"/>
            </w:r>
          </w:p>
        </w:tc>
      </w:tr>
      <w:tr w:rsidR="005C2D1D" w:rsidRPr="00EB32BB" w14:paraId="18ACFA02" w14:textId="77777777" w:rsidTr="00483C67">
        <w:trPr>
          <w:trHeight w:val="2438"/>
        </w:trPr>
        <w:tc>
          <w:tcPr>
            <w:tcW w:w="10070" w:type="dxa"/>
            <w:shd w:val="clear" w:color="auto" w:fill="auto"/>
          </w:tcPr>
          <w:p w14:paraId="04D2B5D0" w14:textId="592FA8F6" w:rsidR="005C2D1D" w:rsidRPr="00295110" w:rsidRDefault="007D53DE" w:rsidP="00483C67">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GC</w:t>
            </w:r>
            <w:r w:rsidR="005C2D1D" w:rsidRPr="00295110">
              <w:rPr>
                <w:rFonts w:cs="Arial"/>
                <w:b/>
                <w:color w:val="F26522" w:themeColor="accent1"/>
                <w:sz w:val="56"/>
                <w:szCs w:val="56"/>
              </w:rPr>
              <w:t>XXX</w:t>
            </w:r>
            <w:r w:rsidR="00303CCE">
              <w:rPr>
                <w:rFonts w:cs="Arial"/>
                <w:b/>
                <w:color w:val="F26522" w:themeColor="accent1"/>
                <w:sz w:val="56"/>
                <w:szCs w:val="56"/>
              </w:rPr>
              <w:t xml:space="preserve"> Alternative</w:t>
            </w:r>
            <w:r w:rsidR="00B13FAC">
              <w:rPr>
                <w:rFonts w:cs="Arial"/>
                <w:b/>
                <w:color w:val="F26522" w:themeColor="accent1"/>
                <w:sz w:val="56"/>
                <w:szCs w:val="56"/>
              </w:rPr>
              <w:t xml:space="preserve"> </w:t>
            </w:r>
            <w:r w:rsidR="00483C67">
              <w:rPr>
                <w:rFonts w:cs="Arial"/>
                <w:b/>
                <w:color w:val="F26522" w:themeColor="accent1"/>
                <w:sz w:val="56"/>
                <w:szCs w:val="56"/>
              </w:rPr>
              <w:t xml:space="preserve">Request </w:t>
            </w:r>
            <w:bookmarkStart w:id="3" w:name="_GoBack"/>
            <w:bookmarkEnd w:id="3"/>
            <w:r w:rsidR="00B13FAC">
              <w:rPr>
                <w:rFonts w:cs="Arial"/>
                <w:b/>
                <w:color w:val="F26522" w:themeColor="accent1"/>
                <w:sz w:val="56"/>
                <w:szCs w:val="56"/>
              </w:rPr>
              <w:t>X</w:t>
            </w:r>
            <w:r w:rsidR="005C2D1D" w:rsidRPr="00295110">
              <w:rPr>
                <w:rFonts w:cs="Arial"/>
                <w:b/>
                <w:color w:val="F26522" w:themeColor="accent1"/>
                <w:sz w:val="56"/>
                <w:szCs w:val="56"/>
              </w:rPr>
              <w:t>:</w:t>
            </w:r>
            <w:commentRangeEnd w:id="2"/>
            <w:r w:rsidR="002D20B5">
              <w:rPr>
                <w:rStyle w:val="CommentReference"/>
              </w:rPr>
              <w:commentReference w:id="2"/>
            </w:r>
          </w:p>
          <w:p w14:paraId="22959001" w14:textId="77777777" w:rsidR="005C2D1D" w:rsidRPr="00295110" w:rsidRDefault="005C2D1D" w:rsidP="00483C67">
            <w:pPr>
              <w:spacing w:before="0" w:after="240"/>
              <w:rPr>
                <w:rFonts w:cs="Arial"/>
                <w:b/>
                <w:color w:val="F26522" w:themeColor="accent1"/>
                <w:sz w:val="44"/>
                <w:szCs w:val="44"/>
              </w:rPr>
            </w:pPr>
            <w:commentRangeStart w:id="4"/>
            <w:r>
              <w:rPr>
                <w:rFonts w:cs="Arial"/>
                <w:b/>
                <w:color w:val="F26522" w:themeColor="accent1"/>
                <w:sz w:val="44"/>
                <w:szCs w:val="44"/>
              </w:rPr>
              <w:t>[Insert modification title]</w:t>
            </w:r>
            <w:commentRangeEnd w:id="4"/>
            <w:r>
              <w:rPr>
                <w:rStyle w:val="CommentReference"/>
              </w:rPr>
              <w:commentReference w:id="4"/>
            </w:r>
          </w:p>
          <w:bookmarkEnd w:id="1"/>
          <w:p w14:paraId="35ABBE36" w14:textId="7283246D" w:rsidR="005C2D1D" w:rsidRPr="00A6159E" w:rsidRDefault="005C2D1D" w:rsidP="00483C67">
            <w:pPr>
              <w:spacing w:before="0" w:after="0" w:line="240" w:lineRule="auto"/>
              <w:rPr>
                <w:rFonts w:cs="Arial"/>
                <w:b/>
                <w:color w:val="F26522" w:themeColor="accent1"/>
                <w:sz w:val="24"/>
                <w:szCs w:val="20"/>
              </w:rPr>
            </w:pP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commentRangeStart w:id="5"/>
            <w:r w:rsidRPr="00FB2FB5">
              <w:rPr>
                <w:rFonts w:cs="Arial"/>
                <w:b/>
                <w:bCs/>
                <w:color w:val="FFFFFF" w:themeColor="background1"/>
                <w:sz w:val="24"/>
              </w:rPr>
              <w:t>Guidance</w:t>
            </w:r>
            <w:commentRangeEnd w:id="5"/>
            <w:r w:rsidR="00927745">
              <w:rPr>
                <w:rStyle w:val="CommentReference"/>
              </w:rPr>
              <w:commentReference w:id="5"/>
            </w:r>
            <w:r w:rsidRPr="00FB2FB5">
              <w:rPr>
                <w:rFonts w:cs="Arial"/>
                <w:b/>
                <w:bCs/>
                <w:color w:val="FFFFFF" w:themeColor="background1"/>
                <w:sz w:val="24"/>
              </w:rPr>
              <w:t xml:space="preserv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6" w:name="_Executive_Summary"/>
      <w:bookmarkStart w:id="7" w:name="_Workgroup_Consultation_Introduction"/>
      <w:bookmarkEnd w:id="6"/>
      <w:bookmarkEnd w:id="7"/>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8"/>
      <w:r w:rsidRPr="000B6ADA">
        <w:rPr>
          <w:sz w:val="24"/>
        </w:rPr>
        <w:t>[Insert</w:t>
      </w:r>
      <w:r>
        <w:rPr>
          <w:sz w:val="24"/>
        </w:rPr>
        <w:t xml:space="preserve"> your solution</w:t>
      </w:r>
      <w:r w:rsidRPr="000B6ADA">
        <w:rPr>
          <w:sz w:val="24"/>
        </w:rPr>
        <w:t>]</w:t>
      </w:r>
      <w:commentRangeEnd w:id="8"/>
      <w:r>
        <w:rPr>
          <w:rStyle w:val="CommentReference"/>
        </w:rPr>
        <w:commentReference w:id="8"/>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915BAC">
        <w:trPr>
          <w:trHeight w:hRule="exact" w:val="561"/>
        </w:trPr>
        <w:tc>
          <w:tcPr>
            <w:tcW w:w="9209" w:type="dxa"/>
            <w:gridSpan w:val="2"/>
            <w:shd w:val="clear" w:color="auto" w:fill="F26522" w:themeFill="accent1"/>
            <w:vAlign w:val="center"/>
          </w:tcPr>
          <w:p w14:paraId="0D864108" w14:textId="77777777" w:rsidR="00941E4C" w:rsidRPr="00314414" w:rsidRDefault="00941E4C" w:rsidP="00915BAC">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915BAC">
        <w:trPr>
          <w:trHeight w:val="397"/>
        </w:trPr>
        <w:tc>
          <w:tcPr>
            <w:tcW w:w="6478" w:type="dxa"/>
          </w:tcPr>
          <w:p w14:paraId="3B3C1211" w14:textId="77777777" w:rsidR="00941E4C" w:rsidRPr="006A726B" w:rsidRDefault="00941E4C" w:rsidP="00915BAC">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915BAC">
            <w:pPr>
              <w:ind w:left="113" w:right="113"/>
              <w:rPr>
                <w:b/>
                <w:sz w:val="24"/>
                <w:szCs w:val="20"/>
              </w:rPr>
            </w:pPr>
            <w:r w:rsidRPr="006A726B">
              <w:rPr>
                <w:b/>
                <w:sz w:val="24"/>
                <w:szCs w:val="20"/>
              </w:rPr>
              <w:t>Identified impact</w:t>
            </w:r>
          </w:p>
        </w:tc>
      </w:tr>
      <w:tr w:rsidR="00941E4C" w:rsidRPr="00C73CBB" w14:paraId="0F803E6F" w14:textId="77777777" w:rsidTr="00915BAC">
        <w:trPr>
          <w:trHeight w:val="397"/>
        </w:trPr>
        <w:tc>
          <w:tcPr>
            <w:tcW w:w="6478" w:type="dxa"/>
          </w:tcPr>
          <w:p w14:paraId="615A3532"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915BAC">
            <w:pPr>
              <w:spacing w:before="40"/>
              <w:ind w:left="113"/>
              <w:rPr>
                <w:sz w:val="24"/>
                <w:szCs w:val="20"/>
              </w:rPr>
            </w:pPr>
            <w:commentRangeStart w:id="9"/>
            <w:r w:rsidRPr="00D1569D">
              <w:rPr>
                <w:b/>
                <w:sz w:val="24"/>
              </w:rPr>
              <w:t>Positive/Negative/None:</w:t>
            </w:r>
            <w:r w:rsidRPr="00D1569D">
              <w:rPr>
                <w:sz w:val="24"/>
              </w:rPr>
              <w:t xml:space="preserve"> [Please provide rationale]</w:t>
            </w:r>
            <w:commentRangeEnd w:id="9"/>
            <w:r>
              <w:rPr>
                <w:rStyle w:val="CommentReference"/>
              </w:rPr>
              <w:commentReference w:id="9"/>
            </w:r>
          </w:p>
        </w:tc>
      </w:tr>
      <w:tr w:rsidR="00941E4C" w:rsidRPr="00C73CBB" w14:paraId="021D4B38" w14:textId="77777777" w:rsidTr="00915BAC">
        <w:trPr>
          <w:trHeight w:val="397"/>
        </w:trPr>
        <w:tc>
          <w:tcPr>
            <w:tcW w:w="6478" w:type="dxa"/>
          </w:tcPr>
          <w:p w14:paraId="45E7F0C8"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915BAC">
        <w:trPr>
          <w:trHeight w:val="397"/>
        </w:trPr>
        <w:tc>
          <w:tcPr>
            <w:tcW w:w="6478" w:type="dxa"/>
          </w:tcPr>
          <w:p w14:paraId="38DB677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(c) Subject to sub-paragraphs (</w:t>
            </w:r>
            <w:proofErr w:type="spellStart"/>
            <w:r w:rsidRPr="00C66D49">
              <w:rPr>
                <w:color w:val="auto"/>
                <w:sz w:val="24"/>
                <w:szCs w:val="20"/>
              </w:rPr>
              <w:t>i</w:t>
            </w:r>
            <w:proofErr w:type="spellEnd"/>
            <w:r w:rsidRPr="00C66D49">
              <w:rPr>
                <w:color w:val="auto"/>
                <w:sz w:val="24"/>
                <w:szCs w:val="20"/>
              </w:rPr>
              <w:t>)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915BAC">
        <w:trPr>
          <w:trHeight w:val="397"/>
        </w:trPr>
        <w:tc>
          <w:tcPr>
            <w:tcW w:w="6478" w:type="dxa"/>
          </w:tcPr>
          <w:p w14:paraId="1500030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915BAC">
        <w:trPr>
          <w:trHeight w:val="397"/>
        </w:trPr>
        <w:tc>
          <w:tcPr>
            <w:tcW w:w="6478" w:type="dxa"/>
          </w:tcPr>
          <w:p w14:paraId="000A7538" w14:textId="77777777" w:rsidR="00941E4C" w:rsidRPr="006A726B" w:rsidRDefault="00941E4C" w:rsidP="00915BAC">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10"/>
      <w:r w:rsidRPr="00AC04D3">
        <w:rPr>
          <w:sz w:val="24"/>
        </w:rPr>
        <w:lastRenderedPageBreak/>
        <w:t>[Insert approach]</w:t>
      </w:r>
      <w:commentRangeEnd w:id="10"/>
      <w:r>
        <w:rPr>
          <w:rStyle w:val="CommentReference"/>
        </w:rPr>
        <w:commentReference w:id="10"/>
      </w:r>
    </w:p>
    <w:p w14:paraId="0E267E81" w14:textId="75CFE56A" w:rsidR="00E65196" w:rsidRDefault="00E65196" w:rsidP="00E25874">
      <w:bookmarkStart w:id="11" w:name="_Workgroup_Consultation_1"/>
      <w:bookmarkEnd w:id="11"/>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2" w:name="_How_to_respond"/>
      <w:bookmarkEnd w:id="12"/>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3"/>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3"/>
            <w:r w:rsidR="00AC04D3">
              <w:rPr>
                <w:rStyle w:val="CommentReference"/>
                <w:lang w:val="en-GB"/>
              </w:rPr>
              <w:commentReference w:id="13"/>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4"/>
      <w:r w:rsidRPr="00250A22">
        <w:rPr>
          <w:b/>
          <w:sz w:val="24"/>
        </w:rPr>
        <w:t>Reference material:</w:t>
      </w:r>
    </w:p>
    <w:commentRangeEnd w:id="14"/>
    <w:p w14:paraId="28DBF18E" w14:textId="3A5658B6" w:rsidR="00754610" w:rsidRDefault="00AC04D3" w:rsidP="00754610">
      <w:pPr>
        <w:pStyle w:val="ListParagraph"/>
        <w:numPr>
          <w:ilvl w:val="0"/>
          <w:numId w:val="28"/>
        </w:numPr>
        <w:rPr>
          <w:sz w:val="24"/>
        </w:rPr>
      </w:pPr>
      <w:r>
        <w:rPr>
          <w:rStyle w:val="CommentReference"/>
        </w:rPr>
        <w:commentReference w:id="14"/>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78203FC8" w:rsidR="002D20B5" w:rsidRDefault="002D20B5">
      <w:pPr>
        <w:pStyle w:val="CommentText"/>
      </w:pPr>
      <w:r>
        <w:rPr>
          <w:rStyle w:val="CommentReference"/>
        </w:rPr>
        <w:annotationRef/>
      </w:r>
      <w:r>
        <w:t>Code Admin Use</w:t>
      </w:r>
    </w:p>
  </w:comment>
  <w:comment w:id="4" w:author="Guidance" w:date="2020-09-21T11:41:00Z" w:initials="G">
    <w:p w14:paraId="023AE41D" w14:textId="70BC28EC" w:rsidR="005C2D1D" w:rsidRDefault="005C2D1D">
      <w:pPr>
        <w:pStyle w:val="CommentText"/>
      </w:pPr>
      <w:r>
        <w:rPr>
          <w:rStyle w:val="CommentReference"/>
        </w:rPr>
        <w:annotationRef/>
      </w:r>
      <w:r>
        <w:t>Insert a short title for the Alternative</w:t>
      </w:r>
    </w:p>
  </w:comment>
  <w:comment w:id="5"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8"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9"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10"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3"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4"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43922B" w15:done="0"/>
  <w15:commentEx w15:paraId="362FCFC8" w15:done="0"/>
  <w15:commentEx w15:paraId="023AE41D" w15:done="0"/>
  <w15:commentEx w15:paraId="6902A12F" w15:done="0"/>
  <w15:commentEx w15:paraId="3136739E" w15:done="0"/>
  <w15:commentEx w15:paraId="2C186AB2"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3922B" w16cid:durableId="231581D4"/>
  <w16cid:commentId w16cid:paraId="362FCFC8" w16cid:durableId="231581D5"/>
  <w16cid:commentId w16cid:paraId="023AE41D" w16cid:durableId="231581D6"/>
  <w16cid:commentId w16cid:paraId="6902A12F" w16cid:durableId="23159241"/>
  <w16cid:commentId w16cid:paraId="3136739E" w16cid:durableId="231581DC"/>
  <w16cid:commentId w16cid:paraId="2C186AB2" w16cid:durableId="2303145D"/>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0EE74" w14:textId="77777777" w:rsidR="00F07F76" w:rsidRDefault="00F07F76" w:rsidP="00D06DC4">
      <w:pPr>
        <w:spacing w:before="0" w:after="0" w:line="240" w:lineRule="auto"/>
      </w:pPr>
      <w:r>
        <w:separator/>
      </w:r>
    </w:p>
  </w:endnote>
  <w:endnote w:type="continuationSeparator" w:id="0">
    <w:p w14:paraId="43D02AAC" w14:textId="77777777" w:rsidR="00F07F76" w:rsidRDefault="00F07F76" w:rsidP="00D06DC4">
      <w:pPr>
        <w:spacing w:before="0" w:after="0" w:line="240" w:lineRule="auto"/>
      </w:pPr>
      <w:r>
        <w:continuationSeparator/>
      </w:r>
    </w:p>
  </w:endnote>
  <w:endnote w:type="continuationNotice" w:id="1">
    <w:p w14:paraId="769C6419" w14:textId="77777777" w:rsidR="00F07F76" w:rsidRDefault="00F07F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B34D4" w14:textId="77777777" w:rsidR="00F07F76" w:rsidRDefault="00F07F76" w:rsidP="00D06DC4">
      <w:pPr>
        <w:spacing w:before="0" w:after="0" w:line="240" w:lineRule="auto"/>
      </w:pPr>
      <w:r>
        <w:separator/>
      </w:r>
    </w:p>
  </w:footnote>
  <w:footnote w:type="continuationSeparator" w:id="0">
    <w:p w14:paraId="297FFF60" w14:textId="77777777" w:rsidR="00F07F76" w:rsidRDefault="00F07F76" w:rsidP="00D06DC4">
      <w:pPr>
        <w:spacing w:before="0" w:after="0" w:line="240" w:lineRule="auto"/>
      </w:pPr>
      <w:r>
        <w:continuationSeparator/>
      </w:r>
    </w:p>
  </w:footnote>
  <w:footnote w:type="continuationNotice" w:id="1">
    <w:p w14:paraId="50F72C59" w14:textId="77777777" w:rsidR="00F07F76" w:rsidRDefault="00F07F7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547B" w14:textId="5828EC99" w:rsidR="00B8588F" w:rsidRDefault="00B8588F" w:rsidP="000C711B">
    <w:pPr>
      <w:pStyle w:val="Header"/>
      <w:ind w:left="720" w:firstLine="720"/>
      <w:jc w:val="right"/>
    </w:pPr>
    <w:bookmarkStart w:id="15" w:name="_Hlk31876634"/>
    <w:bookmarkStart w:id="16" w:name="_Hlk31876635"/>
    <w:r w:rsidRPr="00184853">
      <w:rPr>
        <w:noProof/>
        <w:lang w:val="en-US" w:eastAsia="en-US"/>
      </w:rPr>
      <w:drawing>
        <wp:anchor distT="0" distB="0" distL="114300" distR="114300" simplePos="0" relativeHeight="251658240"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632EE1">
      <w:t>[Code Admin use]</w:t>
    </w:r>
    <w:r w:rsidR="007D53DE">
      <w:t xml:space="preserve"> GC</w:t>
    </w:r>
    <w:r w:rsidR="008C69B9" w:rsidRPr="00295110">
      <w:t>XXX</w:t>
    </w:r>
    <w:r w:rsidR="00F15028">
      <w:t xml:space="preserve"> Alternative X</w:t>
    </w:r>
    <w:r>
      <w:tab/>
    </w:r>
    <w:bookmarkEnd w:id="15"/>
    <w:bookmarkEnd w:id="16"/>
    <w:r w:rsidR="00632EE1">
      <w:t xml:space="preserve">[Code Admin use] </w:t>
    </w:r>
    <w:r w:rsidR="008C69B9">
      <w:t xml:space="preserve">Submitted: </w:t>
    </w:r>
    <w:r w:rsidR="001C6B13">
      <w:t>XX Month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2" ma:contentTypeDescription="Create a new document." ma:contentTypeScope="" ma:versionID="9dd742d1ddf123df7a1bc5c3f97589a7">
  <xsd:schema xmlns:xsd="http://www.w3.org/2001/XMLSchema" xmlns:xs="http://www.w3.org/2001/XMLSchema" xmlns:p="http://schemas.microsoft.com/office/2006/metadata/properties" xmlns:ns2="296f8304-7f63-4501-8ca1-63068ba277e1" xmlns:ns3="97b6fe81-1556-4112-94ca-31043ca39b71" targetNamespace="http://schemas.microsoft.com/office/2006/metadata/properties" ma:root="true" ma:fieldsID="f78e4347f5fc6efa58da27a07f1b735b" ns2:_="" ns3:_="">
    <xsd:import namespace="296f8304-7f63-4501-8ca1-63068ba277e1"/>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9CC006-BB5E-44E5-841C-FFB81257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547B4-1E39-4AE2-9527-D579A9F4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3</TotalTime>
  <Pages>4</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Groome (ESO), Jennifer</cp:lastModifiedBy>
  <cp:revision>7</cp:revision>
  <cp:lastPrinted>2020-02-06T13:28:00Z</cp:lastPrinted>
  <dcterms:created xsi:type="dcterms:W3CDTF">2020-09-23T09:33:00Z</dcterms:created>
  <dcterms:modified xsi:type="dcterms:W3CDTF">2020-10-07T09:26:00Z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_NewReviewCycle">
    <vt:lpwstr/>
  </property>
</Properties>
</file>